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BDF5" w14:textId="0CA7487B" w:rsidR="00F8266F" w:rsidRPr="00CD11DE" w:rsidRDefault="00461979" w:rsidP="00845681">
      <w:pPr>
        <w:spacing w:after="0" w:line="259" w:lineRule="auto"/>
        <w:ind w:right="-35"/>
        <w:jc w:val="center"/>
        <w:rPr>
          <w:sz w:val="20"/>
          <w:szCs w:val="20"/>
        </w:rPr>
      </w:pPr>
      <w:r>
        <w:rPr>
          <w:noProof/>
          <w:sz w:val="20"/>
          <w:szCs w:val="20"/>
          <w:lang w:eastAsia="en-GB"/>
        </w:rPr>
        <w:drawing>
          <wp:inline distT="0" distB="0" distL="0" distR="0" wp14:anchorId="5902521D" wp14:editId="3CD84770">
            <wp:extent cx="2309182" cy="2276475"/>
            <wp:effectExtent l="0" t="0" r="0" b="0"/>
            <wp:docPr id="122973296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32963" name="Picture 1" descr="A blue and black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4813" cy="2282026"/>
                    </a:xfrm>
                    <a:prstGeom prst="rect">
                      <a:avLst/>
                    </a:prstGeom>
                  </pic:spPr>
                </pic:pic>
              </a:graphicData>
            </a:graphic>
          </wp:inline>
        </w:drawing>
      </w:r>
    </w:p>
    <w:p w14:paraId="435D18F3" w14:textId="4E2E4BC1" w:rsidR="00F8266F" w:rsidRPr="00CD11DE" w:rsidRDefault="00F8266F" w:rsidP="00845681">
      <w:pPr>
        <w:spacing w:after="0" w:line="259" w:lineRule="auto"/>
        <w:ind w:left="93"/>
        <w:jc w:val="center"/>
        <w:rPr>
          <w:sz w:val="20"/>
          <w:szCs w:val="20"/>
        </w:rPr>
      </w:pPr>
      <w:bookmarkStart w:id="0" w:name="_Hlk136870301"/>
      <w:bookmarkEnd w:id="0"/>
    </w:p>
    <w:p w14:paraId="6592FDEA" w14:textId="77777777" w:rsidR="00F8266F" w:rsidRPr="00CD11DE" w:rsidRDefault="00F8266F" w:rsidP="00845681">
      <w:pPr>
        <w:spacing w:after="0" w:line="259" w:lineRule="auto"/>
        <w:ind w:left="93"/>
        <w:jc w:val="center"/>
        <w:rPr>
          <w:sz w:val="20"/>
          <w:szCs w:val="20"/>
        </w:rPr>
      </w:pPr>
    </w:p>
    <w:p w14:paraId="5323D977" w14:textId="77777777" w:rsidR="00F8266F" w:rsidRPr="00CD11DE" w:rsidRDefault="00F8266F" w:rsidP="00845681">
      <w:pPr>
        <w:spacing w:after="0" w:line="259" w:lineRule="auto"/>
        <w:ind w:left="93"/>
        <w:jc w:val="center"/>
        <w:rPr>
          <w:sz w:val="20"/>
          <w:szCs w:val="20"/>
        </w:rPr>
      </w:pPr>
    </w:p>
    <w:p w14:paraId="215A93CE" w14:textId="77777777" w:rsidR="00F8266F" w:rsidRPr="00CD11DE" w:rsidRDefault="00F8266F" w:rsidP="00845681">
      <w:pPr>
        <w:spacing w:after="0" w:line="259" w:lineRule="auto"/>
        <w:ind w:left="93"/>
        <w:jc w:val="center"/>
        <w:rPr>
          <w:sz w:val="20"/>
          <w:szCs w:val="20"/>
        </w:rPr>
      </w:pPr>
    </w:p>
    <w:p w14:paraId="2AE51D0E" w14:textId="77777777" w:rsidR="00F8266F" w:rsidRPr="00CD11DE" w:rsidRDefault="00F8266F" w:rsidP="00845681">
      <w:pPr>
        <w:spacing w:after="0" w:line="259" w:lineRule="auto"/>
        <w:ind w:left="93"/>
        <w:jc w:val="center"/>
        <w:rPr>
          <w:sz w:val="20"/>
          <w:szCs w:val="20"/>
        </w:rPr>
      </w:pPr>
    </w:p>
    <w:p w14:paraId="3298660C" w14:textId="77777777" w:rsidR="00F8266F" w:rsidRPr="00CD11DE" w:rsidRDefault="00F8266F" w:rsidP="00845681">
      <w:pPr>
        <w:spacing w:after="0" w:line="259" w:lineRule="auto"/>
        <w:ind w:left="93"/>
        <w:jc w:val="center"/>
        <w:rPr>
          <w:sz w:val="20"/>
          <w:szCs w:val="20"/>
        </w:rPr>
      </w:pPr>
    </w:p>
    <w:p w14:paraId="1B8FAA89" w14:textId="77777777" w:rsidR="00F8266F" w:rsidRPr="00CD11DE" w:rsidRDefault="00F8266F" w:rsidP="00845681">
      <w:pPr>
        <w:spacing w:after="0" w:line="259" w:lineRule="auto"/>
        <w:ind w:left="93"/>
        <w:jc w:val="center"/>
        <w:rPr>
          <w:sz w:val="20"/>
          <w:szCs w:val="20"/>
        </w:rPr>
      </w:pPr>
    </w:p>
    <w:p w14:paraId="718E0AE1" w14:textId="77777777" w:rsidR="00F8266F" w:rsidRPr="00CD11DE" w:rsidRDefault="009F0AFC" w:rsidP="00845681">
      <w:pPr>
        <w:spacing w:after="0" w:line="259" w:lineRule="auto"/>
        <w:jc w:val="center"/>
        <w:rPr>
          <w:sz w:val="44"/>
          <w:szCs w:val="44"/>
        </w:rPr>
      </w:pPr>
      <w:r w:rsidRPr="00CD11DE">
        <w:rPr>
          <w:b/>
          <w:sz w:val="44"/>
          <w:szCs w:val="44"/>
        </w:rPr>
        <w:t>Pillar 3 Disclosures</w:t>
      </w:r>
    </w:p>
    <w:p w14:paraId="71445405" w14:textId="7C2210CE" w:rsidR="00845681" w:rsidRPr="00CD11DE" w:rsidRDefault="00845681" w:rsidP="00845681">
      <w:pPr>
        <w:spacing w:after="0" w:line="259" w:lineRule="auto"/>
        <w:jc w:val="center"/>
        <w:rPr>
          <w:sz w:val="44"/>
          <w:szCs w:val="44"/>
        </w:rPr>
      </w:pPr>
    </w:p>
    <w:p w14:paraId="758B02B7" w14:textId="0DB1BD4D" w:rsidR="00B322FB" w:rsidRPr="00CD11DE" w:rsidRDefault="009F0AFC" w:rsidP="0081149D">
      <w:pPr>
        <w:spacing w:after="0" w:line="259" w:lineRule="auto"/>
        <w:jc w:val="center"/>
        <w:rPr>
          <w:b/>
          <w:sz w:val="32"/>
          <w:szCs w:val="32"/>
        </w:rPr>
      </w:pPr>
      <w:r w:rsidRPr="00CD11DE">
        <w:rPr>
          <w:b/>
          <w:sz w:val="32"/>
          <w:szCs w:val="32"/>
        </w:rPr>
        <w:t>31</w:t>
      </w:r>
      <w:r w:rsidR="00E6686D" w:rsidRPr="00CD11DE">
        <w:rPr>
          <w:b/>
          <w:sz w:val="32"/>
          <w:szCs w:val="32"/>
          <w:vertAlign w:val="superscript"/>
        </w:rPr>
        <w:t>st</w:t>
      </w:r>
      <w:r w:rsidRPr="00CD11DE">
        <w:rPr>
          <w:b/>
          <w:sz w:val="32"/>
          <w:szCs w:val="32"/>
        </w:rPr>
        <w:t xml:space="preserve"> December </w:t>
      </w:r>
      <w:r w:rsidR="0023087C">
        <w:rPr>
          <w:b/>
          <w:sz w:val="32"/>
          <w:szCs w:val="32"/>
        </w:rPr>
        <w:t>2024</w:t>
      </w:r>
    </w:p>
    <w:p w14:paraId="2FFF3A4B" w14:textId="67ECF41F" w:rsidR="005F56A3" w:rsidRPr="00CD11DE" w:rsidRDefault="005F56A3" w:rsidP="005F56A3">
      <w:pPr>
        <w:spacing w:after="0" w:line="259" w:lineRule="auto"/>
        <w:jc w:val="center"/>
        <w:rPr>
          <w:b/>
          <w:sz w:val="32"/>
          <w:szCs w:val="32"/>
        </w:rPr>
      </w:pPr>
    </w:p>
    <w:p w14:paraId="5E29FF9A" w14:textId="77777777" w:rsidR="00B322FB" w:rsidRPr="00CD11DE" w:rsidRDefault="00B322FB" w:rsidP="0081149D">
      <w:pPr>
        <w:spacing w:after="0" w:line="259" w:lineRule="auto"/>
        <w:jc w:val="center"/>
        <w:rPr>
          <w:b/>
          <w:sz w:val="32"/>
          <w:szCs w:val="32"/>
        </w:rPr>
      </w:pPr>
    </w:p>
    <w:p w14:paraId="65582E70" w14:textId="1B831855" w:rsidR="00845681" w:rsidRPr="00CD11DE" w:rsidRDefault="00845681" w:rsidP="0081149D">
      <w:pPr>
        <w:spacing w:after="0" w:line="259" w:lineRule="auto"/>
        <w:jc w:val="center"/>
        <w:rPr>
          <w:b/>
          <w:sz w:val="44"/>
          <w:szCs w:val="44"/>
        </w:rPr>
      </w:pPr>
      <w:r w:rsidRPr="00CD11DE">
        <w:rPr>
          <w:b/>
          <w:sz w:val="44"/>
          <w:szCs w:val="44"/>
        </w:rPr>
        <w:br w:type="page"/>
      </w:r>
    </w:p>
    <w:p w14:paraId="3DD99AD9" w14:textId="3ECB9E21" w:rsidR="00EB2290" w:rsidRDefault="00852042">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r w:rsidRPr="00CD11DE">
        <w:rPr>
          <w:sz w:val="20"/>
          <w:szCs w:val="20"/>
          <w:lang w:val="en-GB"/>
        </w:rPr>
        <w:lastRenderedPageBreak/>
        <w:fldChar w:fldCharType="begin"/>
      </w:r>
      <w:r w:rsidRPr="00C62D72">
        <w:rPr>
          <w:sz w:val="20"/>
          <w:szCs w:val="20"/>
          <w:lang w:val="en-GB"/>
        </w:rPr>
        <w:instrText xml:space="preserve"> TOC \o "1-2" \h \z \u </w:instrText>
      </w:r>
      <w:r w:rsidRPr="00CD11DE">
        <w:rPr>
          <w:sz w:val="20"/>
          <w:szCs w:val="20"/>
          <w:lang w:val="en-GB"/>
        </w:rPr>
        <w:fldChar w:fldCharType="separate"/>
      </w:r>
      <w:hyperlink w:anchor="_Toc201575397" w:history="1">
        <w:r w:rsidR="00EB2290" w:rsidRPr="001426A6">
          <w:rPr>
            <w:rStyle w:val="Hyperlink"/>
            <w:noProof/>
            <w:lang w:val="en-GB"/>
          </w:rPr>
          <w:t>Executive Summary</w:t>
        </w:r>
        <w:r w:rsidR="00EB2290">
          <w:rPr>
            <w:noProof/>
            <w:webHidden/>
          </w:rPr>
          <w:tab/>
        </w:r>
        <w:r w:rsidR="00EB2290">
          <w:rPr>
            <w:noProof/>
            <w:webHidden/>
          </w:rPr>
          <w:fldChar w:fldCharType="begin"/>
        </w:r>
        <w:r w:rsidR="00EB2290">
          <w:rPr>
            <w:noProof/>
            <w:webHidden/>
          </w:rPr>
          <w:instrText xml:space="preserve"> PAGEREF _Toc201575397 \h </w:instrText>
        </w:r>
        <w:r w:rsidR="00EB2290">
          <w:rPr>
            <w:noProof/>
            <w:webHidden/>
          </w:rPr>
        </w:r>
        <w:r w:rsidR="00EB2290">
          <w:rPr>
            <w:noProof/>
            <w:webHidden/>
          </w:rPr>
          <w:fldChar w:fldCharType="separate"/>
        </w:r>
        <w:r w:rsidR="00EB2290">
          <w:rPr>
            <w:noProof/>
            <w:webHidden/>
          </w:rPr>
          <w:t>3</w:t>
        </w:r>
        <w:r w:rsidR="00EB2290">
          <w:rPr>
            <w:noProof/>
            <w:webHidden/>
          </w:rPr>
          <w:fldChar w:fldCharType="end"/>
        </w:r>
      </w:hyperlink>
    </w:p>
    <w:p w14:paraId="60163ACA" w14:textId="347B4D7D"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398" w:history="1">
        <w:r w:rsidRPr="001426A6">
          <w:rPr>
            <w:rStyle w:val="Hyperlink"/>
            <w:noProof/>
            <w:lang w:val="en-GB"/>
          </w:rPr>
          <w:t>1.1</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Background to the Bank</w:t>
        </w:r>
        <w:r>
          <w:rPr>
            <w:noProof/>
            <w:webHidden/>
          </w:rPr>
          <w:tab/>
        </w:r>
        <w:r>
          <w:rPr>
            <w:noProof/>
            <w:webHidden/>
          </w:rPr>
          <w:fldChar w:fldCharType="begin"/>
        </w:r>
        <w:r>
          <w:rPr>
            <w:noProof/>
            <w:webHidden/>
          </w:rPr>
          <w:instrText xml:space="preserve"> PAGEREF _Toc201575398 \h </w:instrText>
        </w:r>
        <w:r>
          <w:rPr>
            <w:noProof/>
            <w:webHidden/>
          </w:rPr>
        </w:r>
        <w:r>
          <w:rPr>
            <w:noProof/>
            <w:webHidden/>
          </w:rPr>
          <w:fldChar w:fldCharType="separate"/>
        </w:r>
        <w:r>
          <w:rPr>
            <w:noProof/>
            <w:webHidden/>
          </w:rPr>
          <w:t>3</w:t>
        </w:r>
        <w:r>
          <w:rPr>
            <w:noProof/>
            <w:webHidden/>
          </w:rPr>
          <w:fldChar w:fldCharType="end"/>
        </w:r>
      </w:hyperlink>
    </w:p>
    <w:p w14:paraId="4FDA4DEB" w14:textId="6B074A15"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399" w:history="1">
        <w:r w:rsidRPr="001426A6">
          <w:rPr>
            <w:rStyle w:val="Hyperlink"/>
            <w:noProof/>
            <w:lang w:val="en-GB"/>
          </w:rPr>
          <w:t>1.2</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Purpose of the Pillar 3 Disclosures</w:t>
        </w:r>
        <w:r>
          <w:rPr>
            <w:noProof/>
            <w:webHidden/>
          </w:rPr>
          <w:tab/>
        </w:r>
        <w:r>
          <w:rPr>
            <w:noProof/>
            <w:webHidden/>
          </w:rPr>
          <w:fldChar w:fldCharType="begin"/>
        </w:r>
        <w:r>
          <w:rPr>
            <w:noProof/>
            <w:webHidden/>
          </w:rPr>
          <w:instrText xml:space="preserve"> PAGEREF _Toc201575399 \h </w:instrText>
        </w:r>
        <w:r>
          <w:rPr>
            <w:noProof/>
            <w:webHidden/>
          </w:rPr>
        </w:r>
        <w:r>
          <w:rPr>
            <w:noProof/>
            <w:webHidden/>
          </w:rPr>
          <w:fldChar w:fldCharType="separate"/>
        </w:r>
        <w:r>
          <w:rPr>
            <w:noProof/>
            <w:webHidden/>
          </w:rPr>
          <w:t>4</w:t>
        </w:r>
        <w:r>
          <w:rPr>
            <w:noProof/>
            <w:webHidden/>
          </w:rPr>
          <w:fldChar w:fldCharType="end"/>
        </w:r>
      </w:hyperlink>
    </w:p>
    <w:p w14:paraId="04EC17DA" w14:textId="41598685"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0" w:history="1">
        <w:r w:rsidRPr="001426A6">
          <w:rPr>
            <w:rStyle w:val="Hyperlink"/>
            <w:noProof/>
            <w:lang w:val="en-GB"/>
          </w:rPr>
          <w:t>1.3</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Summary metrics</w:t>
        </w:r>
        <w:r>
          <w:rPr>
            <w:noProof/>
            <w:webHidden/>
          </w:rPr>
          <w:tab/>
        </w:r>
        <w:r>
          <w:rPr>
            <w:noProof/>
            <w:webHidden/>
          </w:rPr>
          <w:fldChar w:fldCharType="begin"/>
        </w:r>
        <w:r>
          <w:rPr>
            <w:noProof/>
            <w:webHidden/>
          </w:rPr>
          <w:instrText xml:space="preserve"> PAGEREF _Toc201575400 \h </w:instrText>
        </w:r>
        <w:r>
          <w:rPr>
            <w:noProof/>
            <w:webHidden/>
          </w:rPr>
        </w:r>
        <w:r>
          <w:rPr>
            <w:noProof/>
            <w:webHidden/>
          </w:rPr>
          <w:fldChar w:fldCharType="separate"/>
        </w:r>
        <w:r>
          <w:rPr>
            <w:noProof/>
            <w:webHidden/>
          </w:rPr>
          <w:t>4</w:t>
        </w:r>
        <w:r>
          <w:rPr>
            <w:noProof/>
            <w:webHidden/>
          </w:rPr>
          <w:fldChar w:fldCharType="end"/>
        </w:r>
      </w:hyperlink>
    </w:p>
    <w:p w14:paraId="705BB3C0" w14:textId="5B02BE66"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1" w:history="1">
        <w:r w:rsidRPr="001426A6">
          <w:rPr>
            <w:rStyle w:val="Hyperlink"/>
            <w:noProof/>
            <w:lang w:val="en-GB"/>
          </w:rPr>
          <w:t>Introduction</w:t>
        </w:r>
        <w:r>
          <w:rPr>
            <w:noProof/>
            <w:webHidden/>
          </w:rPr>
          <w:tab/>
        </w:r>
        <w:r>
          <w:rPr>
            <w:noProof/>
            <w:webHidden/>
          </w:rPr>
          <w:fldChar w:fldCharType="begin"/>
        </w:r>
        <w:r>
          <w:rPr>
            <w:noProof/>
            <w:webHidden/>
          </w:rPr>
          <w:instrText xml:space="preserve"> PAGEREF _Toc201575401 \h </w:instrText>
        </w:r>
        <w:r>
          <w:rPr>
            <w:noProof/>
            <w:webHidden/>
          </w:rPr>
        </w:r>
        <w:r>
          <w:rPr>
            <w:noProof/>
            <w:webHidden/>
          </w:rPr>
          <w:fldChar w:fldCharType="separate"/>
        </w:r>
        <w:r>
          <w:rPr>
            <w:noProof/>
            <w:webHidden/>
          </w:rPr>
          <w:t>5</w:t>
        </w:r>
        <w:r>
          <w:rPr>
            <w:noProof/>
            <w:webHidden/>
          </w:rPr>
          <w:fldChar w:fldCharType="end"/>
        </w:r>
      </w:hyperlink>
    </w:p>
    <w:p w14:paraId="090BB760" w14:textId="7400A13F"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2" w:history="1">
        <w:r w:rsidRPr="001426A6">
          <w:rPr>
            <w:rStyle w:val="Hyperlink"/>
            <w:noProof/>
            <w:lang w:val="en-GB"/>
          </w:rPr>
          <w:t>1.4</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Background</w:t>
        </w:r>
        <w:r>
          <w:rPr>
            <w:noProof/>
            <w:webHidden/>
          </w:rPr>
          <w:tab/>
        </w:r>
        <w:r>
          <w:rPr>
            <w:noProof/>
            <w:webHidden/>
          </w:rPr>
          <w:fldChar w:fldCharType="begin"/>
        </w:r>
        <w:r>
          <w:rPr>
            <w:noProof/>
            <w:webHidden/>
          </w:rPr>
          <w:instrText xml:space="preserve"> PAGEREF _Toc201575402 \h </w:instrText>
        </w:r>
        <w:r>
          <w:rPr>
            <w:noProof/>
            <w:webHidden/>
          </w:rPr>
        </w:r>
        <w:r>
          <w:rPr>
            <w:noProof/>
            <w:webHidden/>
          </w:rPr>
          <w:fldChar w:fldCharType="separate"/>
        </w:r>
        <w:r>
          <w:rPr>
            <w:noProof/>
            <w:webHidden/>
          </w:rPr>
          <w:t>5</w:t>
        </w:r>
        <w:r>
          <w:rPr>
            <w:noProof/>
            <w:webHidden/>
          </w:rPr>
          <w:fldChar w:fldCharType="end"/>
        </w:r>
      </w:hyperlink>
    </w:p>
    <w:p w14:paraId="2186A3A3" w14:textId="63F688A6"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3" w:history="1">
        <w:r w:rsidRPr="001426A6">
          <w:rPr>
            <w:rStyle w:val="Hyperlink"/>
            <w:noProof/>
            <w:lang w:val="en-GB"/>
          </w:rPr>
          <w:t>1.5</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Scope of application</w:t>
        </w:r>
        <w:r>
          <w:rPr>
            <w:noProof/>
            <w:webHidden/>
          </w:rPr>
          <w:tab/>
        </w:r>
        <w:r>
          <w:rPr>
            <w:noProof/>
            <w:webHidden/>
          </w:rPr>
          <w:fldChar w:fldCharType="begin"/>
        </w:r>
        <w:r>
          <w:rPr>
            <w:noProof/>
            <w:webHidden/>
          </w:rPr>
          <w:instrText xml:space="preserve"> PAGEREF _Toc201575403 \h </w:instrText>
        </w:r>
        <w:r>
          <w:rPr>
            <w:noProof/>
            <w:webHidden/>
          </w:rPr>
        </w:r>
        <w:r>
          <w:rPr>
            <w:noProof/>
            <w:webHidden/>
          </w:rPr>
          <w:fldChar w:fldCharType="separate"/>
        </w:r>
        <w:r>
          <w:rPr>
            <w:noProof/>
            <w:webHidden/>
          </w:rPr>
          <w:t>6</w:t>
        </w:r>
        <w:r>
          <w:rPr>
            <w:noProof/>
            <w:webHidden/>
          </w:rPr>
          <w:fldChar w:fldCharType="end"/>
        </w:r>
      </w:hyperlink>
    </w:p>
    <w:p w14:paraId="45405BD0" w14:textId="7C10C41F"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4" w:history="1">
        <w:r w:rsidRPr="001426A6">
          <w:rPr>
            <w:rStyle w:val="Hyperlink"/>
            <w:noProof/>
            <w:lang w:val="en-GB"/>
          </w:rPr>
          <w:t>1.6</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Basis and frequency of disclosures</w:t>
        </w:r>
        <w:r>
          <w:rPr>
            <w:noProof/>
            <w:webHidden/>
          </w:rPr>
          <w:tab/>
        </w:r>
        <w:r>
          <w:rPr>
            <w:noProof/>
            <w:webHidden/>
          </w:rPr>
          <w:fldChar w:fldCharType="begin"/>
        </w:r>
        <w:r>
          <w:rPr>
            <w:noProof/>
            <w:webHidden/>
          </w:rPr>
          <w:instrText xml:space="preserve"> PAGEREF _Toc201575404 \h </w:instrText>
        </w:r>
        <w:r>
          <w:rPr>
            <w:noProof/>
            <w:webHidden/>
          </w:rPr>
        </w:r>
        <w:r>
          <w:rPr>
            <w:noProof/>
            <w:webHidden/>
          </w:rPr>
          <w:fldChar w:fldCharType="separate"/>
        </w:r>
        <w:r>
          <w:rPr>
            <w:noProof/>
            <w:webHidden/>
          </w:rPr>
          <w:t>6</w:t>
        </w:r>
        <w:r>
          <w:rPr>
            <w:noProof/>
            <w:webHidden/>
          </w:rPr>
          <w:fldChar w:fldCharType="end"/>
        </w:r>
      </w:hyperlink>
    </w:p>
    <w:p w14:paraId="510F0BDC" w14:textId="2F8C2531"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5" w:history="1">
        <w:r w:rsidRPr="001426A6">
          <w:rPr>
            <w:rStyle w:val="Hyperlink"/>
            <w:noProof/>
            <w:lang w:val="en-GB"/>
          </w:rPr>
          <w:t>1.7</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Verification</w:t>
        </w:r>
        <w:r>
          <w:rPr>
            <w:noProof/>
            <w:webHidden/>
          </w:rPr>
          <w:tab/>
        </w:r>
        <w:r>
          <w:rPr>
            <w:noProof/>
            <w:webHidden/>
          </w:rPr>
          <w:fldChar w:fldCharType="begin"/>
        </w:r>
        <w:r>
          <w:rPr>
            <w:noProof/>
            <w:webHidden/>
          </w:rPr>
          <w:instrText xml:space="preserve"> PAGEREF _Toc201575405 \h </w:instrText>
        </w:r>
        <w:r>
          <w:rPr>
            <w:noProof/>
            <w:webHidden/>
          </w:rPr>
        </w:r>
        <w:r>
          <w:rPr>
            <w:noProof/>
            <w:webHidden/>
          </w:rPr>
          <w:fldChar w:fldCharType="separate"/>
        </w:r>
        <w:r>
          <w:rPr>
            <w:noProof/>
            <w:webHidden/>
          </w:rPr>
          <w:t>6</w:t>
        </w:r>
        <w:r>
          <w:rPr>
            <w:noProof/>
            <w:webHidden/>
          </w:rPr>
          <w:fldChar w:fldCharType="end"/>
        </w:r>
      </w:hyperlink>
    </w:p>
    <w:p w14:paraId="4946D3D5" w14:textId="1CAEC10B"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6" w:history="1">
        <w:r w:rsidRPr="001426A6">
          <w:rPr>
            <w:rStyle w:val="Hyperlink"/>
            <w:noProof/>
            <w:lang w:val="en-GB"/>
          </w:rPr>
          <w:t>1.8</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External audit</w:t>
        </w:r>
        <w:r>
          <w:rPr>
            <w:noProof/>
            <w:webHidden/>
          </w:rPr>
          <w:tab/>
        </w:r>
        <w:r>
          <w:rPr>
            <w:noProof/>
            <w:webHidden/>
          </w:rPr>
          <w:fldChar w:fldCharType="begin"/>
        </w:r>
        <w:r>
          <w:rPr>
            <w:noProof/>
            <w:webHidden/>
          </w:rPr>
          <w:instrText xml:space="preserve"> PAGEREF _Toc201575406 \h </w:instrText>
        </w:r>
        <w:r>
          <w:rPr>
            <w:noProof/>
            <w:webHidden/>
          </w:rPr>
        </w:r>
        <w:r>
          <w:rPr>
            <w:noProof/>
            <w:webHidden/>
          </w:rPr>
          <w:fldChar w:fldCharType="separate"/>
        </w:r>
        <w:r>
          <w:rPr>
            <w:noProof/>
            <w:webHidden/>
          </w:rPr>
          <w:t>6</w:t>
        </w:r>
        <w:r>
          <w:rPr>
            <w:noProof/>
            <w:webHidden/>
          </w:rPr>
          <w:fldChar w:fldCharType="end"/>
        </w:r>
      </w:hyperlink>
    </w:p>
    <w:p w14:paraId="3D397536" w14:textId="0E5F7CF5" w:rsidR="00EB2290" w:rsidRDefault="00EB2290">
      <w:pPr>
        <w:pStyle w:val="TOC2"/>
        <w:tabs>
          <w:tab w:val="left" w:pos="120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7" w:history="1">
        <w:r w:rsidRPr="001426A6">
          <w:rPr>
            <w:rStyle w:val="Hyperlink"/>
            <w:noProof/>
            <w:lang w:val="en-GB"/>
          </w:rPr>
          <w:t>1.9</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Board responsibility for risk management</w:t>
        </w:r>
        <w:r>
          <w:rPr>
            <w:noProof/>
            <w:webHidden/>
          </w:rPr>
          <w:tab/>
        </w:r>
        <w:r>
          <w:rPr>
            <w:noProof/>
            <w:webHidden/>
          </w:rPr>
          <w:fldChar w:fldCharType="begin"/>
        </w:r>
        <w:r>
          <w:rPr>
            <w:noProof/>
            <w:webHidden/>
          </w:rPr>
          <w:instrText xml:space="preserve"> PAGEREF _Toc201575407 \h </w:instrText>
        </w:r>
        <w:r>
          <w:rPr>
            <w:noProof/>
            <w:webHidden/>
          </w:rPr>
        </w:r>
        <w:r>
          <w:rPr>
            <w:noProof/>
            <w:webHidden/>
          </w:rPr>
          <w:fldChar w:fldCharType="separate"/>
        </w:r>
        <w:r>
          <w:rPr>
            <w:noProof/>
            <w:webHidden/>
          </w:rPr>
          <w:t>6</w:t>
        </w:r>
        <w:r>
          <w:rPr>
            <w:noProof/>
            <w:webHidden/>
          </w:rPr>
          <w:fldChar w:fldCharType="end"/>
        </w:r>
      </w:hyperlink>
    </w:p>
    <w:p w14:paraId="6052627F" w14:textId="36218B28"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8" w:history="1">
        <w:r w:rsidRPr="001426A6">
          <w:rPr>
            <w:rStyle w:val="Hyperlink"/>
            <w:noProof/>
            <w:lang w:val="en-GB"/>
          </w:rPr>
          <w:t>Governance Structure</w:t>
        </w:r>
        <w:r>
          <w:rPr>
            <w:noProof/>
            <w:webHidden/>
          </w:rPr>
          <w:tab/>
        </w:r>
        <w:r>
          <w:rPr>
            <w:noProof/>
            <w:webHidden/>
          </w:rPr>
          <w:fldChar w:fldCharType="begin"/>
        </w:r>
        <w:r>
          <w:rPr>
            <w:noProof/>
            <w:webHidden/>
          </w:rPr>
          <w:instrText xml:space="preserve"> PAGEREF _Toc201575408 \h </w:instrText>
        </w:r>
        <w:r>
          <w:rPr>
            <w:noProof/>
            <w:webHidden/>
          </w:rPr>
        </w:r>
        <w:r>
          <w:rPr>
            <w:noProof/>
            <w:webHidden/>
          </w:rPr>
          <w:fldChar w:fldCharType="separate"/>
        </w:r>
        <w:r>
          <w:rPr>
            <w:noProof/>
            <w:webHidden/>
          </w:rPr>
          <w:t>8</w:t>
        </w:r>
        <w:r>
          <w:rPr>
            <w:noProof/>
            <w:webHidden/>
          </w:rPr>
          <w:fldChar w:fldCharType="end"/>
        </w:r>
      </w:hyperlink>
    </w:p>
    <w:p w14:paraId="53997FB9" w14:textId="15BE9AEF"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09" w:history="1">
        <w:r w:rsidRPr="001426A6">
          <w:rPr>
            <w:rStyle w:val="Hyperlink"/>
            <w:noProof/>
            <w:lang w:val="en-GB"/>
          </w:rPr>
          <w:t>1.10</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Board of Directors and Board level committees</w:t>
        </w:r>
        <w:r>
          <w:rPr>
            <w:noProof/>
            <w:webHidden/>
          </w:rPr>
          <w:tab/>
        </w:r>
        <w:r>
          <w:rPr>
            <w:noProof/>
            <w:webHidden/>
          </w:rPr>
          <w:fldChar w:fldCharType="begin"/>
        </w:r>
        <w:r>
          <w:rPr>
            <w:noProof/>
            <w:webHidden/>
          </w:rPr>
          <w:instrText xml:space="preserve"> PAGEREF _Toc201575409 \h </w:instrText>
        </w:r>
        <w:r>
          <w:rPr>
            <w:noProof/>
            <w:webHidden/>
          </w:rPr>
        </w:r>
        <w:r>
          <w:rPr>
            <w:noProof/>
            <w:webHidden/>
          </w:rPr>
          <w:fldChar w:fldCharType="separate"/>
        </w:r>
        <w:r>
          <w:rPr>
            <w:noProof/>
            <w:webHidden/>
          </w:rPr>
          <w:t>9</w:t>
        </w:r>
        <w:r>
          <w:rPr>
            <w:noProof/>
            <w:webHidden/>
          </w:rPr>
          <w:fldChar w:fldCharType="end"/>
        </w:r>
      </w:hyperlink>
    </w:p>
    <w:p w14:paraId="42C5B107" w14:textId="11838AA3"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0" w:history="1">
        <w:r w:rsidRPr="001426A6">
          <w:rPr>
            <w:rStyle w:val="Hyperlink"/>
            <w:noProof/>
            <w:lang w:val="en-GB"/>
          </w:rPr>
          <w:t>1.11</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Executive/Management level committees</w:t>
        </w:r>
        <w:r>
          <w:rPr>
            <w:noProof/>
            <w:webHidden/>
          </w:rPr>
          <w:tab/>
        </w:r>
        <w:r>
          <w:rPr>
            <w:noProof/>
            <w:webHidden/>
          </w:rPr>
          <w:fldChar w:fldCharType="begin"/>
        </w:r>
        <w:r>
          <w:rPr>
            <w:noProof/>
            <w:webHidden/>
          </w:rPr>
          <w:instrText xml:space="preserve"> PAGEREF _Toc201575410 \h </w:instrText>
        </w:r>
        <w:r>
          <w:rPr>
            <w:noProof/>
            <w:webHidden/>
          </w:rPr>
        </w:r>
        <w:r>
          <w:rPr>
            <w:noProof/>
            <w:webHidden/>
          </w:rPr>
          <w:fldChar w:fldCharType="separate"/>
        </w:r>
        <w:r>
          <w:rPr>
            <w:noProof/>
            <w:webHidden/>
          </w:rPr>
          <w:t>10</w:t>
        </w:r>
        <w:r>
          <w:rPr>
            <w:noProof/>
            <w:webHidden/>
          </w:rPr>
          <w:fldChar w:fldCharType="end"/>
        </w:r>
      </w:hyperlink>
    </w:p>
    <w:p w14:paraId="352524B2" w14:textId="653FFD6D"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1" w:history="1">
        <w:r w:rsidRPr="001426A6">
          <w:rPr>
            <w:rStyle w:val="Hyperlink"/>
            <w:noProof/>
            <w:lang w:val="en-GB"/>
          </w:rPr>
          <w:t>Risk Management Framework</w:t>
        </w:r>
        <w:r>
          <w:rPr>
            <w:noProof/>
            <w:webHidden/>
          </w:rPr>
          <w:tab/>
        </w:r>
        <w:r>
          <w:rPr>
            <w:noProof/>
            <w:webHidden/>
          </w:rPr>
          <w:fldChar w:fldCharType="begin"/>
        </w:r>
        <w:r>
          <w:rPr>
            <w:noProof/>
            <w:webHidden/>
          </w:rPr>
          <w:instrText xml:space="preserve"> PAGEREF _Toc201575411 \h </w:instrText>
        </w:r>
        <w:r>
          <w:rPr>
            <w:noProof/>
            <w:webHidden/>
          </w:rPr>
        </w:r>
        <w:r>
          <w:rPr>
            <w:noProof/>
            <w:webHidden/>
          </w:rPr>
          <w:fldChar w:fldCharType="separate"/>
        </w:r>
        <w:r>
          <w:rPr>
            <w:noProof/>
            <w:webHidden/>
          </w:rPr>
          <w:t>12</w:t>
        </w:r>
        <w:r>
          <w:rPr>
            <w:noProof/>
            <w:webHidden/>
          </w:rPr>
          <w:fldChar w:fldCharType="end"/>
        </w:r>
      </w:hyperlink>
    </w:p>
    <w:p w14:paraId="6CFDA19E" w14:textId="65E1CF9F"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2" w:history="1">
        <w:r w:rsidRPr="001426A6">
          <w:rPr>
            <w:rStyle w:val="Hyperlink"/>
            <w:noProof/>
            <w:lang w:val="en-GB"/>
          </w:rPr>
          <w:t>1.12</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Primary Risks</w:t>
        </w:r>
        <w:r>
          <w:rPr>
            <w:noProof/>
            <w:webHidden/>
          </w:rPr>
          <w:tab/>
        </w:r>
        <w:r>
          <w:rPr>
            <w:noProof/>
            <w:webHidden/>
          </w:rPr>
          <w:fldChar w:fldCharType="begin"/>
        </w:r>
        <w:r>
          <w:rPr>
            <w:noProof/>
            <w:webHidden/>
          </w:rPr>
          <w:instrText xml:space="preserve"> PAGEREF _Toc201575412 \h </w:instrText>
        </w:r>
        <w:r>
          <w:rPr>
            <w:noProof/>
            <w:webHidden/>
          </w:rPr>
        </w:r>
        <w:r>
          <w:rPr>
            <w:noProof/>
            <w:webHidden/>
          </w:rPr>
          <w:fldChar w:fldCharType="separate"/>
        </w:r>
        <w:r>
          <w:rPr>
            <w:noProof/>
            <w:webHidden/>
          </w:rPr>
          <w:t>13</w:t>
        </w:r>
        <w:r>
          <w:rPr>
            <w:noProof/>
            <w:webHidden/>
          </w:rPr>
          <w:fldChar w:fldCharType="end"/>
        </w:r>
      </w:hyperlink>
    </w:p>
    <w:p w14:paraId="592E2C3F" w14:textId="1BF010BD"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3" w:history="1">
        <w:r w:rsidRPr="001426A6">
          <w:rPr>
            <w:rStyle w:val="Hyperlink"/>
            <w:noProof/>
            <w:lang w:val="en-GB"/>
          </w:rPr>
          <w:t>1.13</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Three Lines of Defence approach to risk management</w:t>
        </w:r>
        <w:r>
          <w:rPr>
            <w:noProof/>
            <w:webHidden/>
          </w:rPr>
          <w:tab/>
        </w:r>
        <w:r>
          <w:rPr>
            <w:noProof/>
            <w:webHidden/>
          </w:rPr>
          <w:fldChar w:fldCharType="begin"/>
        </w:r>
        <w:r>
          <w:rPr>
            <w:noProof/>
            <w:webHidden/>
          </w:rPr>
          <w:instrText xml:space="preserve"> PAGEREF _Toc201575413 \h </w:instrText>
        </w:r>
        <w:r>
          <w:rPr>
            <w:noProof/>
            <w:webHidden/>
          </w:rPr>
        </w:r>
        <w:r>
          <w:rPr>
            <w:noProof/>
            <w:webHidden/>
          </w:rPr>
          <w:fldChar w:fldCharType="separate"/>
        </w:r>
        <w:r>
          <w:rPr>
            <w:noProof/>
            <w:webHidden/>
          </w:rPr>
          <w:t>19</w:t>
        </w:r>
        <w:r>
          <w:rPr>
            <w:noProof/>
            <w:webHidden/>
          </w:rPr>
          <w:fldChar w:fldCharType="end"/>
        </w:r>
      </w:hyperlink>
    </w:p>
    <w:p w14:paraId="5B6464D8" w14:textId="4E293501"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4" w:history="1">
        <w:r w:rsidRPr="001426A6">
          <w:rPr>
            <w:rStyle w:val="Hyperlink"/>
            <w:noProof/>
            <w:lang w:val="en-GB"/>
          </w:rPr>
          <w:t>1.14</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Risk Appetite</w:t>
        </w:r>
        <w:r>
          <w:rPr>
            <w:noProof/>
            <w:webHidden/>
          </w:rPr>
          <w:tab/>
        </w:r>
        <w:r>
          <w:rPr>
            <w:noProof/>
            <w:webHidden/>
          </w:rPr>
          <w:fldChar w:fldCharType="begin"/>
        </w:r>
        <w:r>
          <w:rPr>
            <w:noProof/>
            <w:webHidden/>
          </w:rPr>
          <w:instrText xml:space="preserve"> PAGEREF _Toc201575414 \h </w:instrText>
        </w:r>
        <w:r>
          <w:rPr>
            <w:noProof/>
            <w:webHidden/>
          </w:rPr>
        </w:r>
        <w:r>
          <w:rPr>
            <w:noProof/>
            <w:webHidden/>
          </w:rPr>
          <w:fldChar w:fldCharType="separate"/>
        </w:r>
        <w:r>
          <w:rPr>
            <w:noProof/>
            <w:webHidden/>
          </w:rPr>
          <w:t>19</w:t>
        </w:r>
        <w:r>
          <w:rPr>
            <w:noProof/>
            <w:webHidden/>
          </w:rPr>
          <w:fldChar w:fldCharType="end"/>
        </w:r>
      </w:hyperlink>
    </w:p>
    <w:p w14:paraId="357DAB41" w14:textId="7158E3DB"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5" w:history="1">
        <w:r w:rsidRPr="001426A6">
          <w:rPr>
            <w:rStyle w:val="Hyperlink"/>
            <w:noProof/>
            <w:lang w:val="en-GB"/>
          </w:rPr>
          <w:t>1.15</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Credit Concentration Risk</w:t>
        </w:r>
        <w:r>
          <w:rPr>
            <w:noProof/>
            <w:webHidden/>
          </w:rPr>
          <w:tab/>
        </w:r>
        <w:r>
          <w:rPr>
            <w:noProof/>
            <w:webHidden/>
          </w:rPr>
          <w:fldChar w:fldCharType="begin"/>
        </w:r>
        <w:r>
          <w:rPr>
            <w:noProof/>
            <w:webHidden/>
          </w:rPr>
          <w:instrText xml:space="preserve"> PAGEREF _Toc201575415 \h </w:instrText>
        </w:r>
        <w:r>
          <w:rPr>
            <w:noProof/>
            <w:webHidden/>
          </w:rPr>
        </w:r>
        <w:r>
          <w:rPr>
            <w:noProof/>
            <w:webHidden/>
          </w:rPr>
          <w:fldChar w:fldCharType="separate"/>
        </w:r>
        <w:r>
          <w:rPr>
            <w:noProof/>
            <w:webHidden/>
          </w:rPr>
          <w:t>26</w:t>
        </w:r>
        <w:r>
          <w:rPr>
            <w:noProof/>
            <w:webHidden/>
          </w:rPr>
          <w:fldChar w:fldCharType="end"/>
        </w:r>
      </w:hyperlink>
    </w:p>
    <w:p w14:paraId="311FAEF6" w14:textId="4C620D87"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6" w:history="1">
        <w:r w:rsidRPr="001426A6">
          <w:rPr>
            <w:rStyle w:val="Hyperlink"/>
            <w:noProof/>
            <w:lang w:val="en-GB"/>
          </w:rPr>
          <w:t>1.16</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Market Risk (including Profit Rate Risk in the Banking Book and FX Risk)</w:t>
        </w:r>
        <w:r>
          <w:rPr>
            <w:noProof/>
            <w:webHidden/>
          </w:rPr>
          <w:tab/>
        </w:r>
        <w:r>
          <w:rPr>
            <w:noProof/>
            <w:webHidden/>
          </w:rPr>
          <w:fldChar w:fldCharType="begin"/>
        </w:r>
        <w:r>
          <w:rPr>
            <w:noProof/>
            <w:webHidden/>
          </w:rPr>
          <w:instrText xml:space="preserve"> PAGEREF _Toc201575416 \h </w:instrText>
        </w:r>
        <w:r>
          <w:rPr>
            <w:noProof/>
            <w:webHidden/>
          </w:rPr>
        </w:r>
        <w:r>
          <w:rPr>
            <w:noProof/>
            <w:webHidden/>
          </w:rPr>
          <w:fldChar w:fldCharType="separate"/>
        </w:r>
        <w:r>
          <w:rPr>
            <w:noProof/>
            <w:webHidden/>
          </w:rPr>
          <w:t>28</w:t>
        </w:r>
        <w:r>
          <w:rPr>
            <w:noProof/>
            <w:webHidden/>
          </w:rPr>
          <w:fldChar w:fldCharType="end"/>
        </w:r>
      </w:hyperlink>
    </w:p>
    <w:p w14:paraId="2787DEBF" w14:textId="7A0BFBCF"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7" w:history="1">
        <w:r w:rsidRPr="001426A6">
          <w:rPr>
            <w:rStyle w:val="Hyperlink"/>
            <w:noProof/>
            <w:lang w:val="en-GB"/>
          </w:rPr>
          <w:t>1.17</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Operational Risk</w:t>
        </w:r>
        <w:r>
          <w:rPr>
            <w:noProof/>
            <w:webHidden/>
          </w:rPr>
          <w:tab/>
        </w:r>
        <w:r>
          <w:rPr>
            <w:noProof/>
            <w:webHidden/>
          </w:rPr>
          <w:fldChar w:fldCharType="begin"/>
        </w:r>
        <w:r>
          <w:rPr>
            <w:noProof/>
            <w:webHidden/>
          </w:rPr>
          <w:instrText xml:space="preserve"> PAGEREF _Toc201575417 \h </w:instrText>
        </w:r>
        <w:r>
          <w:rPr>
            <w:noProof/>
            <w:webHidden/>
          </w:rPr>
        </w:r>
        <w:r>
          <w:rPr>
            <w:noProof/>
            <w:webHidden/>
          </w:rPr>
          <w:fldChar w:fldCharType="separate"/>
        </w:r>
        <w:r>
          <w:rPr>
            <w:noProof/>
            <w:webHidden/>
          </w:rPr>
          <w:t>30</w:t>
        </w:r>
        <w:r>
          <w:rPr>
            <w:noProof/>
            <w:webHidden/>
          </w:rPr>
          <w:fldChar w:fldCharType="end"/>
        </w:r>
      </w:hyperlink>
    </w:p>
    <w:p w14:paraId="227914E3" w14:textId="08F697FE"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8" w:history="1">
        <w:r w:rsidRPr="001426A6">
          <w:rPr>
            <w:rStyle w:val="Hyperlink"/>
            <w:noProof/>
            <w:lang w:val="en-GB"/>
          </w:rPr>
          <w:t>1.18</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Liquidity &amp; Funding Risk</w:t>
        </w:r>
        <w:r>
          <w:rPr>
            <w:noProof/>
            <w:webHidden/>
          </w:rPr>
          <w:tab/>
        </w:r>
        <w:r>
          <w:rPr>
            <w:noProof/>
            <w:webHidden/>
          </w:rPr>
          <w:fldChar w:fldCharType="begin"/>
        </w:r>
        <w:r>
          <w:rPr>
            <w:noProof/>
            <w:webHidden/>
          </w:rPr>
          <w:instrText xml:space="preserve"> PAGEREF _Toc201575418 \h </w:instrText>
        </w:r>
        <w:r>
          <w:rPr>
            <w:noProof/>
            <w:webHidden/>
          </w:rPr>
        </w:r>
        <w:r>
          <w:rPr>
            <w:noProof/>
            <w:webHidden/>
          </w:rPr>
          <w:fldChar w:fldCharType="separate"/>
        </w:r>
        <w:r>
          <w:rPr>
            <w:noProof/>
            <w:webHidden/>
          </w:rPr>
          <w:t>31</w:t>
        </w:r>
        <w:r>
          <w:rPr>
            <w:noProof/>
            <w:webHidden/>
          </w:rPr>
          <w:fldChar w:fldCharType="end"/>
        </w:r>
      </w:hyperlink>
    </w:p>
    <w:p w14:paraId="1A231797" w14:textId="33D49964"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19" w:history="1">
        <w:r w:rsidRPr="001426A6">
          <w:rPr>
            <w:rStyle w:val="Hyperlink"/>
            <w:noProof/>
            <w:lang w:val="en-GB"/>
          </w:rPr>
          <w:t>1.19</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Sharia non-compliance risk</w:t>
        </w:r>
        <w:r>
          <w:rPr>
            <w:noProof/>
            <w:webHidden/>
          </w:rPr>
          <w:tab/>
        </w:r>
        <w:r>
          <w:rPr>
            <w:noProof/>
            <w:webHidden/>
          </w:rPr>
          <w:fldChar w:fldCharType="begin"/>
        </w:r>
        <w:r>
          <w:rPr>
            <w:noProof/>
            <w:webHidden/>
          </w:rPr>
          <w:instrText xml:space="preserve"> PAGEREF _Toc201575419 \h </w:instrText>
        </w:r>
        <w:r>
          <w:rPr>
            <w:noProof/>
            <w:webHidden/>
          </w:rPr>
        </w:r>
        <w:r>
          <w:rPr>
            <w:noProof/>
            <w:webHidden/>
          </w:rPr>
          <w:fldChar w:fldCharType="separate"/>
        </w:r>
        <w:r>
          <w:rPr>
            <w:noProof/>
            <w:webHidden/>
          </w:rPr>
          <w:t>33</w:t>
        </w:r>
        <w:r>
          <w:rPr>
            <w:noProof/>
            <w:webHidden/>
          </w:rPr>
          <w:fldChar w:fldCharType="end"/>
        </w:r>
      </w:hyperlink>
    </w:p>
    <w:p w14:paraId="4F4CCE80" w14:textId="3DB11972"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0" w:history="1">
        <w:r w:rsidRPr="001426A6">
          <w:rPr>
            <w:rStyle w:val="Hyperlink"/>
            <w:noProof/>
            <w:lang w:val="en-GB"/>
          </w:rPr>
          <w:t>1.20</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Group Risk</w:t>
        </w:r>
        <w:r>
          <w:rPr>
            <w:noProof/>
            <w:webHidden/>
          </w:rPr>
          <w:tab/>
        </w:r>
        <w:r>
          <w:rPr>
            <w:noProof/>
            <w:webHidden/>
          </w:rPr>
          <w:fldChar w:fldCharType="begin"/>
        </w:r>
        <w:r>
          <w:rPr>
            <w:noProof/>
            <w:webHidden/>
          </w:rPr>
          <w:instrText xml:space="preserve"> PAGEREF _Toc201575420 \h </w:instrText>
        </w:r>
        <w:r>
          <w:rPr>
            <w:noProof/>
            <w:webHidden/>
          </w:rPr>
        </w:r>
        <w:r>
          <w:rPr>
            <w:noProof/>
            <w:webHidden/>
          </w:rPr>
          <w:fldChar w:fldCharType="separate"/>
        </w:r>
        <w:r>
          <w:rPr>
            <w:noProof/>
            <w:webHidden/>
          </w:rPr>
          <w:t>33</w:t>
        </w:r>
        <w:r>
          <w:rPr>
            <w:noProof/>
            <w:webHidden/>
          </w:rPr>
          <w:fldChar w:fldCharType="end"/>
        </w:r>
      </w:hyperlink>
    </w:p>
    <w:p w14:paraId="509AEBC0" w14:textId="1E05875B"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1" w:history="1">
        <w:r w:rsidRPr="001426A6">
          <w:rPr>
            <w:rStyle w:val="Hyperlink"/>
            <w:noProof/>
            <w:lang w:val="en-GB"/>
          </w:rPr>
          <w:t>1.21</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Financial Risks from Climate Change</w:t>
        </w:r>
        <w:r>
          <w:rPr>
            <w:noProof/>
            <w:webHidden/>
          </w:rPr>
          <w:tab/>
        </w:r>
        <w:r>
          <w:rPr>
            <w:noProof/>
            <w:webHidden/>
          </w:rPr>
          <w:fldChar w:fldCharType="begin"/>
        </w:r>
        <w:r>
          <w:rPr>
            <w:noProof/>
            <w:webHidden/>
          </w:rPr>
          <w:instrText xml:space="preserve"> PAGEREF _Toc201575421 \h </w:instrText>
        </w:r>
        <w:r>
          <w:rPr>
            <w:noProof/>
            <w:webHidden/>
          </w:rPr>
        </w:r>
        <w:r>
          <w:rPr>
            <w:noProof/>
            <w:webHidden/>
          </w:rPr>
          <w:fldChar w:fldCharType="separate"/>
        </w:r>
        <w:r>
          <w:rPr>
            <w:noProof/>
            <w:webHidden/>
          </w:rPr>
          <w:t>33</w:t>
        </w:r>
        <w:r>
          <w:rPr>
            <w:noProof/>
            <w:webHidden/>
          </w:rPr>
          <w:fldChar w:fldCharType="end"/>
        </w:r>
      </w:hyperlink>
    </w:p>
    <w:p w14:paraId="62530A20" w14:textId="17DCC1AE"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2" w:history="1">
        <w:r w:rsidRPr="001426A6">
          <w:rPr>
            <w:rStyle w:val="Hyperlink"/>
            <w:noProof/>
            <w:lang w:val="en-GB"/>
          </w:rPr>
          <w:t>1.22</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Conduct Risk</w:t>
        </w:r>
        <w:r>
          <w:rPr>
            <w:noProof/>
            <w:webHidden/>
          </w:rPr>
          <w:tab/>
        </w:r>
        <w:r>
          <w:rPr>
            <w:noProof/>
            <w:webHidden/>
          </w:rPr>
          <w:fldChar w:fldCharType="begin"/>
        </w:r>
        <w:r>
          <w:rPr>
            <w:noProof/>
            <w:webHidden/>
          </w:rPr>
          <w:instrText xml:space="preserve"> PAGEREF _Toc201575422 \h </w:instrText>
        </w:r>
        <w:r>
          <w:rPr>
            <w:noProof/>
            <w:webHidden/>
          </w:rPr>
        </w:r>
        <w:r>
          <w:rPr>
            <w:noProof/>
            <w:webHidden/>
          </w:rPr>
          <w:fldChar w:fldCharType="separate"/>
        </w:r>
        <w:r>
          <w:rPr>
            <w:noProof/>
            <w:webHidden/>
          </w:rPr>
          <w:t>34</w:t>
        </w:r>
        <w:r>
          <w:rPr>
            <w:noProof/>
            <w:webHidden/>
          </w:rPr>
          <w:fldChar w:fldCharType="end"/>
        </w:r>
      </w:hyperlink>
    </w:p>
    <w:p w14:paraId="26B8649D" w14:textId="17CB6D1D"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3" w:history="1">
        <w:r w:rsidRPr="001426A6">
          <w:rPr>
            <w:rStyle w:val="Hyperlink"/>
            <w:noProof/>
            <w:lang w:val="en-GB"/>
          </w:rPr>
          <w:t>1.23</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Financial Crime Risk</w:t>
        </w:r>
        <w:r>
          <w:rPr>
            <w:noProof/>
            <w:webHidden/>
          </w:rPr>
          <w:tab/>
        </w:r>
        <w:r>
          <w:rPr>
            <w:noProof/>
            <w:webHidden/>
          </w:rPr>
          <w:fldChar w:fldCharType="begin"/>
        </w:r>
        <w:r>
          <w:rPr>
            <w:noProof/>
            <w:webHidden/>
          </w:rPr>
          <w:instrText xml:space="preserve"> PAGEREF _Toc201575423 \h </w:instrText>
        </w:r>
        <w:r>
          <w:rPr>
            <w:noProof/>
            <w:webHidden/>
          </w:rPr>
        </w:r>
        <w:r>
          <w:rPr>
            <w:noProof/>
            <w:webHidden/>
          </w:rPr>
          <w:fldChar w:fldCharType="separate"/>
        </w:r>
        <w:r>
          <w:rPr>
            <w:noProof/>
            <w:webHidden/>
          </w:rPr>
          <w:t>35</w:t>
        </w:r>
        <w:r>
          <w:rPr>
            <w:noProof/>
            <w:webHidden/>
          </w:rPr>
          <w:fldChar w:fldCharType="end"/>
        </w:r>
      </w:hyperlink>
    </w:p>
    <w:p w14:paraId="0AF89F99" w14:textId="4EF30D91"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4" w:history="1">
        <w:r w:rsidRPr="001426A6">
          <w:rPr>
            <w:rStyle w:val="Hyperlink"/>
            <w:noProof/>
            <w:lang w:val="en-GB"/>
          </w:rPr>
          <w:t>Capital Requirements and Resources</w:t>
        </w:r>
        <w:r>
          <w:rPr>
            <w:noProof/>
            <w:webHidden/>
          </w:rPr>
          <w:tab/>
        </w:r>
        <w:r>
          <w:rPr>
            <w:noProof/>
            <w:webHidden/>
          </w:rPr>
          <w:fldChar w:fldCharType="begin"/>
        </w:r>
        <w:r>
          <w:rPr>
            <w:noProof/>
            <w:webHidden/>
          </w:rPr>
          <w:instrText xml:space="preserve"> PAGEREF _Toc201575424 \h </w:instrText>
        </w:r>
        <w:r>
          <w:rPr>
            <w:noProof/>
            <w:webHidden/>
          </w:rPr>
        </w:r>
        <w:r>
          <w:rPr>
            <w:noProof/>
            <w:webHidden/>
          </w:rPr>
          <w:fldChar w:fldCharType="separate"/>
        </w:r>
        <w:r>
          <w:rPr>
            <w:noProof/>
            <w:webHidden/>
          </w:rPr>
          <w:t>36</w:t>
        </w:r>
        <w:r>
          <w:rPr>
            <w:noProof/>
            <w:webHidden/>
          </w:rPr>
          <w:fldChar w:fldCharType="end"/>
        </w:r>
      </w:hyperlink>
    </w:p>
    <w:p w14:paraId="7F0F6BC6" w14:textId="7909530E"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5" w:history="1">
        <w:r w:rsidRPr="001426A6">
          <w:rPr>
            <w:rStyle w:val="Hyperlink"/>
            <w:noProof/>
            <w:lang w:val="en-GB"/>
          </w:rPr>
          <w:t>1.24</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Pillar 1 Capital</w:t>
        </w:r>
        <w:r>
          <w:rPr>
            <w:noProof/>
            <w:webHidden/>
          </w:rPr>
          <w:tab/>
        </w:r>
        <w:r>
          <w:rPr>
            <w:noProof/>
            <w:webHidden/>
          </w:rPr>
          <w:fldChar w:fldCharType="begin"/>
        </w:r>
        <w:r>
          <w:rPr>
            <w:noProof/>
            <w:webHidden/>
          </w:rPr>
          <w:instrText xml:space="preserve"> PAGEREF _Toc201575425 \h </w:instrText>
        </w:r>
        <w:r>
          <w:rPr>
            <w:noProof/>
            <w:webHidden/>
          </w:rPr>
        </w:r>
        <w:r>
          <w:rPr>
            <w:noProof/>
            <w:webHidden/>
          </w:rPr>
          <w:fldChar w:fldCharType="separate"/>
        </w:r>
        <w:r>
          <w:rPr>
            <w:noProof/>
            <w:webHidden/>
          </w:rPr>
          <w:t>36</w:t>
        </w:r>
        <w:r>
          <w:rPr>
            <w:noProof/>
            <w:webHidden/>
          </w:rPr>
          <w:fldChar w:fldCharType="end"/>
        </w:r>
      </w:hyperlink>
    </w:p>
    <w:p w14:paraId="0DA677CE" w14:textId="44E77F9C"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6" w:history="1">
        <w:r w:rsidRPr="001426A6">
          <w:rPr>
            <w:rStyle w:val="Hyperlink"/>
            <w:noProof/>
            <w:lang w:val="en-GB"/>
          </w:rPr>
          <w:t>1.25</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Total Capital Resources</w:t>
        </w:r>
        <w:r>
          <w:rPr>
            <w:noProof/>
            <w:webHidden/>
          </w:rPr>
          <w:tab/>
        </w:r>
        <w:r>
          <w:rPr>
            <w:noProof/>
            <w:webHidden/>
          </w:rPr>
          <w:fldChar w:fldCharType="begin"/>
        </w:r>
        <w:r>
          <w:rPr>
            <w:noProof/>
            <w:webHidden/>
          </w:rPr>
          <w:instrText xml:space="preserve"> PAGEREF _Toc201575426 \h </w:instrText>
        </w:r>
        <w:r>
          <w:rPr>
            <w:noProof/>
            <w:webHidden/>
          </w:rPr>
        </w:r>
        <w:r>
          <w:rPr>
            <w:noProof/>
            <w:webHidden/>
          </w:rPr>
          <w:fldChar w:fldCharType="separate"/>
        </w:r>
        <w:r>
          <w:rPr>
            <w:noProof/>
            <w:webHidden/>
          </w:rPr>
          <w:t>37</w:t>
        </w:r>
        <w:r>
          <w:rPr>
            <w:noProof/>
            <w:webHidden/>
          </w:rPr>
          <w:fldChar w:fldCharType="end"/>
        </w:r>
      </w:hyperlink>
    </w:p>
    <w:p w14:paraId="464ECA77" w14:textId="6E461BF6" w:rsidR="00EB2290" w:rsidRDefault="00EB2290">
      <w:pPr>
        <w:pStyle w:val="TOC2"/>
        <w:tabs>
          <w:tab w:val="left" w:pos="1440"/>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7" w:history="1">
        <w:r w:rsidRPr="001426A6">
          <w:rPr>
            <w:rStyle w:val="Hyperlink"/>
            <w:noProof/>
            <w:lang w:val="en-GB"/>
          </w:rPr>
          <w:t>1.26</w:t>
        </w:r>
        <w:r>
          <w:rPr>
            <w:rFonts w:asciiTheme="minorHAnsi" w:eastAsiaTheme="minorEastAsia" w:hAnsiTheme="minorHAnsi" w:cstheme="minorBidi"/>
            <w:noProof/>
            <w:color w:val="auto"/>
            <w:kern w:val="2"/>
            <w:sz w:val="24"/>
            <w:szCs w:val="24"/>
            <w:lang w:val="en-GB" w:eastAsia="en-GB"/>
            <w14:ligatures w14:val="standardContextual"/>
          </w:rPr>
          <w:tab/>
        </w:r>
        <w:r w:rsidRPr="001426A6">
          <w:rPr>
            <w:rStyle w:val="Hyperlink"/>
            <w:noProof/>
            <w:lang w:val="en-GB"/>
          </w:rPr>
          <w:t>Leverage ratio</w:t>
        </w:r>
        <w:r>
          <w:rPr>
            <w:noProof/>
            <w:webHidden/>
          </w:rPr>
          <w:tab/>
        </w:r>
        <w:r>
          <w:rPr>
            <w:noProof/>
            <w:webHidden/>
          </w:rPr>
          <w:fldChar w:fldCharType="begin"/>
        </w:r>
        <w:r>
          <w:rPr>
            <w:noProof/>
            <w:webHidden/>
          </w:rPr>
          <w:instrText xml:space="preserve"> PAGEREF _Toc201575427 \h </w:instrText>
        </w:r>
        <w:r>
          <w:rPr>
            <w:noProof/>
            <w:webHidden/>
          </w:rPr>
        </w:r>
        <w:r>
          <w:rPr>
            <w:noProof/>
            <w:webHidden/>
          </w:rPr>
          <w:fldChar w:fldCharType="separate"/>
        </w:r>
        <w:r>
          <w:rPr>
            <w:noProof/>
            <w:webHidden/>
          </w:rPr>
          <w:t>38</w:t>
        </w:r>
        <w:r>
          <w:rPr>
            <w:noProof/>
            <w:webHidden/>
          </w:rPr>
          <w:fldChar w:fldCharType="end"/>
        </w:r>
      </w:hyperlink>
    </w:p>
    <w:p w14:paraId="57BA0CA6" w14:textId="3500FD96"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8" w:history="1">
        <w:r w:rsidRPr="001426A6">
          <w:rPr>
            <w:rStyle w:val="Hyperlink"/>
            <w:noProof/>
            <w:lang w:val="en-GB"/>
          </w:rPr>
          <w:t>Remuneration Code Disclosures</w:t>
        </w:r>
        <w:r>
          <w:rPr>
            <w:noProof/>
            <w:webHidden/>
          </w:rPr>
          <w:tab/>
        </w:r>
        <w:r>
          <w:rPr>
            <w:noProof/>
            <w:webHidden/>
          </w:rPr>
          <w:fldChar w:fldCharType="begin"/>
        </w:r>
        <w:r>
          <w:rPr>
            <w:noProof/>
            <w:webHidden/>
          </w:rPr>
          <w:instrText xml:space="preserve"> PAGEREF _Toc201575428 \h </w:instrText>
        </w:r>
        <w:r>
          <w:rPr>
            <w:noProof/>
            <w:webHidden/>
          </w:rPr>
        </w:r>
        <w:r>
          <w:rPr>
            <w:noProof/>
            <w:webHidden/>
          </w:rPr>
          <w:fldChar w:fldCharType="separate"/>
        </w:r>
        <w:r>
          <w:rPr>
            <w:noProof/>
            <w:webHidden/>
          </w:rPr>
          <w:t>39</w:t>
        </w:r>
        <w:r>
          <w:rPr>
            <w:noProof/>
            <w:webHidden/>
          </w:rPr>
          <w:fldChar w:fldCharType="end"/>
        </w:r>
      </w:hyperlink>
    </w:p>
    <w:p w14:paraId="178418D8" w14:textId="25D359AE"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29" w:history="1">
        <w:r w:rsidRPr="001426A6">
          <w:rPr>
            <w:rStyle w:val="Hyperlink"/>
            <w:noProof/>
            <w:lang w:val="en-GB"/>
          </w:rPr>
          <w:t>Annex I</w:t>
        </w:r>
        <w:r>
          <w:rPr>
            <w:noProof/>
            <w:webHidden/>
          </w:rPr>
          <w:tab/>
        </w:r>
        <w:r>
          <w:rPr>
            <w:noProof/>
            <w:webHidden/>
          </w:rPr>
          <w:fldChar w:fldCharType="begin"/>
        </w:r>
        <w:r>
          <w:rPr>
            <w:noProof/>
            <w:webHidden/>
          </w:rPr>
          <w:instrText xml:space="preserve"> PAGEREF _Toc201575429 \h </w:instrText>
        </w:r>
        <w:r>
          <w:rPr>
            <w:noProof/>
            <w:webHidden/>
          </w:rPr>
        </w:r>
        <w:r>
          <w:rPr>
            <w:noProof/>
            <w:webHidden/>
          </w:rPr>
          <w:fldChar w:fldCharType="separate"/>
        </w:r>
        <w:r>
          <w:rPr>
            <w:noProof/>
            <w:webHidden/>
          </w:rPr>
          <w:t>42</w:t>
        </w:r>
        <w:r>
          <w:rPr>
            <w:noProof/>
            <w:webHidden/>
          </w:rPr>
          <w:fldChar w:fldCharType="end"/>
        </w:r>
      </w:hyperlink>
    </w:p>
    <w:p w14:paraId="41B9D675" w14:textId="2E408DC3" w:rsidR="00EB2290" w:rsidRDefault="00EB2290">
      <w:pPr>
        <w:pStyle w:val="TOC1"/>
        <w:tabs>
          <w:tab w:val="right" w:leader="dot" w:pos="9027"/>
        </w:tabs>
        <w:rPr>
          <w:rFonts w:asciiTheme="minorHAnsi" w:eastAsiaTheme="minorEastAsia" w:hAnsiTheme="minorHAnsi" w:cstheme="minorBidi"/>
          <w:noProof/>
          <w:color w:val="auto"/>
          <w:kern w:val="2"/>
          <w:sz w:val="24"/>
          <w:szCs w:val="24"/>
          <w:lang w:val="en-GB" w:eastAsia="en-GB"/>
          <w14:ligatures w14:val="standardContextual"/>
        </w:rPr>
      </w:pPr>
      <w:hyperlink w:anchor="_Toc201575430" w:history="1">
        <w:r w:rsidRPr="001426A6">
          <w:rPr>
            <w:rStyle w:val="Hyperlink"/>
            <w:noProof/>
            <w:lang w:val="en-GB"/>
          </w:rPr>
          <w:t>Annex II</w:t>
        </w:r>
        <w:r>
          <w:rPr>
            <w:noProof/>
            <w:webHidden/>
          </w:rPr>
          <w:tab/>
        </w:r>
        <w:r>
          <w:rPr>
            <w:noProof/>
            <w:webHidden/>
          </w:rPr>
          <w:fldChar w:fldCharType="begin"/>
        </w:r>
        <w:r>
          <w:rPr>
            <w:noProof/>
            <w:webHidden/>
          </w:rPr>
          <w:instrText xml:space="preserve"> PAGEREF _Toc201575430 \h </w:instrText>
        </w:r>
        <w:r>
          <w:rPr>
            <w:noProof/>
            <w:webHidden/>
          </w:rPr>
        </w:r>
        <w:r>
          <w:rPr>
            <w:noProof/>
            <w:webHidden/>
          </w:rPr>
          <w:fldChar w:fldCharType="separate"/>
        </w:r>
        <w:r>
          <w:rPr>
            <w:noProof/>
            <w:webHidden/>
          </w:rPr>
          <w:t>45</w:t>
        </w:r>
        <w:r>
          <w:rPr>
            <w:noProof/>
            <w:webHidden/>
          </w:rPr>
          <w:fldChar w:fldCharType="end"/>
        </w:r>
      </w:hyperlink>
    </w:p>
    <w:p w14:paraId="41E3749A" w14:textId="116524FE" w:rsidR="00D45655" w:rsidRPr="00CD11DE" w:rsidRDefault="00852042" w:rsidP="00D45655">
      <w:pPr>
        <w:spacing w:after="0" w:line="259" w:lineRule="auto"/>
        <w:jc w:val="left"/>
        <w:rPr>
          <w:sz w:val="20"/>
          <w:szCs w:val="20"/>
        </w:rPr>
      </w:pPr>
      <w:r w:rsidRPr="00CD11DE">
        <w:rPr>
          <w:sz w:val="20"/>
          <w:szCs w:val="20"/>
        </w:rPr>
        <w:fldChar w:fldCharType="end"/>
      </w:r>
    </w:p>
    <w:p w14:paraId="4DFD19F3" w14:textId="77777777" w:rsidR="003670D9" w:rsidRPr="00CD11DE" w:rsidRDefault="00D45655" w:rsidP="00D45655">
      <w:pPr>
        <w:keepLines w:val="0"/>
        <w:spacing w:after="160" w:line="259" w:lineRule="auto"/>
        <w:jc w:val="left"/>
        <w:rPr>
          <w:sz w:val="20"/>
          <w:szCs w:val="20"/>
        </w:rPr>
      </w:pPr>
      <w:r w:rsidRPr="00CD11DE">
        <w:rPr>
          <w:sz w:val="20"/>
          <w:szCs w:val="20"/>
        </w:rPr>
        <w:br w:type="page"/>
      </w:r>
    </w:p>
    <w:p w14:paraId="01D96F99" w14:textId="77777777" w:rsidR="003670D9" w:rsidRPr="00C62D72" w:rsidRDefault="009F0AFC" w:rsidP="00285B0B">
      <w:pPr>
        <w:pStyle w:val="Heading1"/>
        <w:rPr>
          <w:rFonts w:ascii="Arial" w:hAnsi="Arial"/>
          <w:lang w:val="en-GB"/>
        </w:rPr>
      </w:pPr>
      <w:r w:rsidRPr="00C62D72">
        <w:rPr>
          <w:lang w:val="en-GB"/>
        </w:rPr>
        <w:lastRenderedPageBreak/>
        <w:t xml:space="preserve"> </w:t>
      </w:r>
      <w:bookmarkStart w:id="1" w:name="_Toc201575397"/>
      <w:r w:rsidR="00903C6A" w:rsidRPr="00C62D72">
        <w:rPr>
          <w:rFonts w:ascii="Arial" w:hAnsi="Arial"/>
          <w:lang w:val="en-GB"/>
        </w:rPr>
        <w:t xml:space="preserve">Executive </w:t>
      </w:r>
      <w:r w:rsidR="00D30EF5" w:rsidRPr="00C62D72">
        <w:rPr>
          <w:rFonts w:ascii="Arial" w:hAnsi="Arial"/>
          <w:lang w:val="en-GB"/>
        </w:rPr>
        <w:t>S</w:t>
      </w:r>
      <w:r w:rsidR="00903C6A" w:rsidRPr="00C62D72">
        <w:rPr>
          <w:rFonts w:ascii="Arial" w:hAnsi="Arial"/>
          <w:lang w:val="en-GB"/>
        </w:rPr>
        <w:t>ummary</w:t>
      </w:r>
      <w:bookmarkEnd w:id="1"/>
    </w:p>
    <w:p w14:paraId="0D9AFEC7" w14:textId="47229B72" w:rsidR="00B95038" w:rsidRPr="00C62D72" w:rsidRDefault="00635C99" w:rsidP="0023179E">
      <w:pPr>
        <w:pStyle w:val="Heading2"/>
        <w:rPr>
          <w:lang w:val="en-GB"/>
        </w:rPr>
      </w:pPr>
      <w:bookmarkStart w:id="2" w:name="_Toc201575398"/>
      <w:bookmarkStart w:id="3" w:name="_Hlk488829182"/>
      <w:r w:rsidRPr="00C62D72">
        <w:rPr>
          <w:lang w:val="en-GB"/>
        </w:rPr>
        <w:t>Background to the Bank</w:t>
      </w:r>
      <w:bookmarkEnd w:id="2"/>
    </w:p>
    <w:p w14:paraId="12343A41" w14:textId="7369E453" w:rsidR="00740E21" w:rsidRPr="00CD11DE" w:rsidRDefault="00740E21" w:rsidP="00740E21">
      <w:pPr>
        <w:rPr>
          <w:sz w:val="20"/>
        </w:rPr>
      </w:pPr>
      <w:r w:rsidRPr="00CD11DE">
        <w:rPr>
          <w:sz w:val="20"/>
        </w:rPr>
        <w:t xml:space="preserve">Al Rayan Bank PLC provides Sharia compliant savings, finance and current account services to over 90,000 personal, business and premier customers and was the first Islamic bank in the UK to receive a public rating. The Bank has an Aa3(cr) rating from Moody’s Investors Service (Moody’s), one of the leading global ratings agencies. </w:t>
      </w:r>
    </w:p>
    <w:p w14:paraId="66EAB9DD" w14:textId="52886388" w:rsidR="00740E21" w:rsidRPr="00CD11DE" w:rsidRDefault="00740E21" w:rsidP="00AF1161">
      <w:pPr>
        <w:rPr>
          <w:sz w:val="20"/>
          <w:szCs w:val="20"/>
        </w:rPr>
      </w:pPr>
      <w:r w:rsidRPr="62E27241">
        <w:rPr>
          <w:sz w:val="20"/>
          <w:szCs w:val="20"/>
        </w:rPr>
        <w:t xml:space="preserve">The parent company and majority shareholder, of Al Rayan Bank PLC (the Bank) is Al Rayan (UK) Limited, the UK subsidiary of </w:t>
      </w:r>
      <w:r w:rsidR="00AF1161" w:rsidRPr="00AF1161">
        <w:rPr>
          <w:sz w:val="20"/>
          <w:szCs w:val="20"/>
        </w:rPr>
        <w:t>AlRayan Bank QPSC, formerly Masraf Al Rayan</w:t>
      </w:r>
      <w:r w:rsidR="00AF1161">
        <w:rPr>
          <w:sz w:val="20"/>
          <w:szCs w:val="20"/>
        </w:rPr>
        <w:t xml:space="preserve"> </w:t>
      </w:r>
      <w:r w:rsidR="00AF1161" w:rsidRPr="00AF1161">
        <w:rPr>
          <w:sz w:val="20"/>
          <w:szCs w:val="20"/>
        </w:rPr>
        <w:t>(MAR). AlRayan Bank QPSC is</w:t>
      </w:r>
      <w:r w:rsidRPr="62E27241">
        <w:rPr>
          <w:sz w:val="20"/>
          <w:szCs w:val="20"/>
        </w:rPr>
        <w:t>a Qatar</w:t>
      </w:r>
      <w:r w:rsidR="00681BFF" w:rsidRPr="62E27241">
        <w:rPr>
          <w:sz w:val="20"/>
          <w:szCs w:val="20"/>
        </w:rPr>
        <w:t xml:space="preserve"> </w:t>
      </w:r>
      <w:r w:rsidRPr="62E27241">
        <w:rPr>
          <w:sz w:val="20"/>
          <w:szCs w:val="20"/>
        </w:rPr>
        <w:t xml:space="preserve">based Islamic bank providing banking, financial, investment and brokerage services across Qatar. </w:t>
      </w:r>
      <w:r w:rsidR="00AF1161" w:rsidRPr="00AF1161">
        <w:rPr>
          <w:sz w:val="20"/>
          <w:szCs w:val="20"/>
        </w:rPr>
        <w:t>AlRayan Bank QPSC</w:t>
      </w:r>
      <w:r w:rsidR="00AF1161" w:rsidRPr="62E27241" w:rsidDel="00AF1161">
        <w:rPr>
          <w:sz w:val="20"/>
          <w:szCs w:val="20"/>
        </w:rPr>
        <w:t xml:space="preserve"> </w:t>
      </w:r>
      <w:r w:rsidRPr="62E27241">
        <w:rPr>
          <w:sz w:val="20"/>
          <w:szCs w:val="20"/>
        </w:rPr>
        <w:t xml:space="preserve">was incorporated in January 2006 and is licensed by Qatar Central Bank. </w:t>
      </w:r>
      <w:r w:rsidR="00AF1161" w:rsidRPr="00AF1161">
        <w:rPr>
          <w:sz w:val="20"/>
          <w:szCs w:val="20"/>
        </w:rPr>
        <w:t>AlRayan Bank QPSC</w:t>
      </w:r>
      <w:r w:rsidR="00AF1161" w:rsidRPr="62E27241" w:rsidDel="00AF1161">
        <w:rPr>
          <w:sz w:val="20"/>
          <w:szCs w:val="20"/>
        </w:rPr>
        <w:t xml:space="preserve"> </w:t>
      </w:r>
      <w:r w:rsidRPr="62E27241">
        <w:rPr>
          <w:sz w:val="20"/>
          <w:szCs w:val="20"/>
        </w:rPr>
        <w:t xml:space="preserve">is one of the largest banks in Qatar. Our ambition is for Al Rayan Bank to be the most trusted, Sharia compliant bank in the UK, providing Premier and Commercial Property Finance. We do this by keeping our business simple and connecting with each other through living our “One Team” values every day, creating a great place to work and a great place for customers to bank. We promote ethical banking, embrace and celebrate diversity and we care about having a positive impact on the world around us. </w:t>
      </w:r>
    </w:p>
    <w:p w14:paraId="6D9774BE" w14:textId="586388F7" w:rsidR="00740E21" w:rsidRPr="00CD11DE" w:rsidRDefault="00740E21" w:rsidP="00740E21">
      <w:pPr>
        <w:rPr>
          <w:sz w:val="20"/>
        </w:rPr>
      </w:pPr>
      <w:r w:rsidRPr="00CD11DE">
        <w:rPr>
          <w:sz w:val="20"/>
        </w:rPr>
        <w:t>Current products include Commercial Property Finance (CPF), focused on residential investment financing, Premier Home Purchase Plans, current accounts and a range of savings accounts catering for different needs for resident and non</w:t>
      </w:r>
      <w:r w:rsidR="00681BFF" w:rsidRPr="00CD11DE">
        <w:rPr>
          <w:sz w:val="20"/>
        </w:rPr>
        <w:t>-</w:t>
      </w:r>
      <w:r w:rsidRPr="00CD11DE">
        <w:rPr>
          <w:sz w:val="20"/>
        </w:rPr>
        <w:t xml:space="preserve">resident customers. </w:t>
      </w:r>
    </w:p>
    <w:p w14:paraId="07EFDFBD" w14:textId="03F7878C" w:rsidR="00740E21" w:rsidRPr="00CD11DE" w:rsidRDefault="00740E21" w:rsidP="00740E21">
      <w:pPr>
        <w:rPr>
          <w:sz w:val="20"/>
        </w:rPr>
      </w:pPr>
      <w:r w:rsidRPr="00CD11DE">
        <w:rPr>
          <w:sz w:val="20"/>
        </w:rPr>
        <w:t xml:space="preserve">The Bank’s Board of Directors has delegated responsibility for day-to-day management </w:t>
      </w:r>
      <w:r w:rsidR="00CD1779" w:rsidRPr="00EF068C">
        <w:rPr>
          <w:sz w:val="20"/>
        </w:rPr>
        <w:t>of the Bank</w:t>
      </w:r>
      <w:r w:rsidR="00CD1779" w:rsidRPr="00CD11DE">
        <w:rPr>
          <w:sz w:val="20"/>
        </w:rPr>
        <w:t xml:space="preserve"> </w:t>
      </w:r>
      <w:r w:rsidRPr="00CD11DE">
        <w:rPr>
          <w:sz w:val="20"/>
        </w:rPr>
        <w:t xml:space="preserve">to the executive team, led by the Chief Executive Officer. </w:t>
      </w:r>
    </w:p>
    <w:p w14:paraId="422FC866" w14:textId="0F25FF8E" w:rsidR="00740E21" w:rsidRPr="00CD11DE" w:rsidRDefault="00740E21" w:rsidP="00740E21">
      <w:pPr>
        <w:rPr>
          <w:sz w:val="20"/>
        </w:rPr>
      </w:pPr>
      <w:r w:rsidRPr="00CD11DE">
        <w:rPr>
          <w:sz w:val="20"/>
        </w:rPr>
        <w:t xml:space="preserve">The Bank serves its customers through a variety of channels, including online and mobile, telephone and in person, through its Premier and Commercial </w:t>
      </w:r>
      <w:r w:rsidR="00681BFF" w:rsidRPr="00CD11DE">
        <w:rPr>
          <w:sz w:val="20"/>
        </w:rPr>
        <w:t>office</w:t>
      </w:r>
      <w:r w:rsidRPr="00CD11DE">
        <w:rPr>
          <w:sz w:val="20"/>
        </w:rPr>
        <w:t xml:space="preserve"> in London. </w:t>
      </w:r>
    </w:p>
    <w:p w14:paraId="75AF34FD" w14:textId="0489BA69" w:rsidR="004F32D3" w:rsidRPr="00CD11DE" w:rsidRDefault="00740E21" w:rsidP="00740E21">
      <w:pPr>
        <w:rPr>
          <w:sz w:val="20"/>
        </w:rPr>
      </w:pPr>
      <w:r w:rsidRPr="00CD11DE">
        <w:rPr>
          <w:sz w:val="20"/>
        </w:rPr>
        <w:t>The Bank prides itself on delivering value for customers.</w:t>
      </w:r>
    </w:p>
    <w:p w14:paraId="7045EF49" w14:textId="735E520A" w:rsidR="004F32D3" w:rsidRPr="00CD11DE" w:rsidRDefault="00740E21" w:rsidP="00346F6B">
      <w:pPr>
        <w:jc w:val="center"/>
        <w:rPr>
          <w:sz w:val="20"/>
        </w:rPr>
      </w:pPr>
      <w:r w:rsidRPr="00CD11DE">
        <w:rPr>
          <w:noProof/>
          <w:sz w:val="20"/>
        </w:rPr>
        <w:drawing>
          <wp:inline distT="0" distB="0" distL="0" distR="0" wp14:anchorId="5E187AF4" wp14:editId="6F9F4407">
            <wp:extent cx="5630423" cy="1622425"/>
            <wp:effectExtent l="0" t="0" r="8890" b="0"/>
            <wp:docPr id="103644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316" cy="1629310"/>
                    </a:xfrm>
                    <a:prstGeom prst="rect">
                      <a:avLst/>
                    </a:prstGeom>
                    <a:noFill/>
                  </pic:spPr>
                </pic:pic>
              </a:graphicData>
            </a:graphic>
          </wp:inline>
        </w:drawing>
      </w:r>
    </w:p>
    <w:p w14:paraId="25240617" w14:textId="5E400EBB" w:rsidR="004F32D3" w:rsidRPr="00CD11DE" w:rsidRDefault="004F32D3" w:rsidP="004F32D3">
      <w:pPr>
        <w:rPr>
          <w:sz w:val="20"/>
        </w:rPr>
      </w:pPr>
    </w:p>
    <w:p w14:paraId="3BE20F4C" w14:textId="3AF02106" w:rsidR="00346F6B" w:rsidRPr="00CD11DE" w:rsidRDefault="00346F6B" w:rsidP="004F32D3">
      <w:pPr>
        <w:rPr>
          <w:sz w:val="20"/>
        </w:rPr>
      </w:pPr>
    </w:p>
    <w:p w14:paraId="24D3313D" w14:textId="5EE2EA20" w:rsidR="00346F6B" w:rsidRPr="00CD11DE" w:rsidRDefault="00346F6B" w:rsidP="004F32D3">
      <w:pPr>
        <w:rPr>
          <w:sz w:val="20"/>
        </w:rPr>
      </w:pPr>
    </w:p>
    <w:p w14:paraId="423CC6C9" w14:textId="01E16DAF" w:rsidR="00346F6B" w:rsidRPr="00CD11DE" w:rsidRDefault="00346F6B" w:rsidP="004F32D3">
      <w:pPr>
        <w:rPr>
          <w:sz w:val="20"/>
        </w:rPr>
      </w:pPr>
    </w:p>
    <w:p w14:paraId="4039903E" w14:textId="64BB15BA" w:rsidR="00346F6B" w:rsidRPr="00CD11DE" w:rsidRDefault="00346F6B" w:rsidP="004F32D3">
      <w:pPr>
        <w:rPr>
          <w:sz w:val="20"/>
        </w:rPr>
      </w:pPr>
    </w:p>
    <w:p w14:paraId="783D60ED" w14:textId="2D7F292A" w:rsidR="00346F6B" w:rsidRPr="00CD11DE" w:rsidRDefault="00346F6B" w:rsidP="004F32D3">
      <w:pPr>
        <w:rPr>
          <w:sz w:val="20"/>
        </w:rPr>
      </w:pPr>
    </w:p>
    <w:p w14:paraId="55439276" w14:textId="77777777" w:rsidR="0076745A" w:rsidRPr="00C62D72" w:rsidRDefault="0076745A" w:rsidP="0023179E">
      <w:pPr>
        <w:pStyle w:val="Heading2"/>
        <w:rPr>
          <w:lang w:val="en-GB"/>
        </w:rPr>
      </w:pPr>
      <w:bookmarkStart w:id="4" w:name="_Toc512695942"/>
      <w:bookmarkStart w:id="5" w:name="_Toc201575399"/>
      <w:bookmarkStart w:id="6" w:name="_Toc490211564"/>
      <w:bookmarkStart w:id="7" w:name="_Toc490476270"/>
      <w:bookmarkStart w:id="8" w:name="_Toc490485117"/>
      <w:bookmarkStart w:id="9" w:name="_Toc490752420"/>
      <w:bookmarkStart w:id="10" w:name="_Toc490752584"/>
      <w:bookmarkStart w:id="11" w:name="_Toc490753196"/>
      <w:bookmarkStart w:id="12" w:name="_Toc490753313"/>
      <w:bookmarkStart w:id="13" w:name="_Toc490758702"/>
      <w:bookmarkStart w:id="14" w:name="_Toc490759013"/>
      <w:r w:rsidRPr="00C62D72">
        <w:rPr>
          <w:lang w:val="en-GB"/>
        </w:rPr>
        <w:lastRenderedPageBreak/>
        <w:t>Purpose of the Pillar 3 Disclosures</w:t>
      </w:r>
      <w:bookmarkEnd w:id="4"/>
      <w:bookmarkEnd w:id="5"/>
    </w:p>
    <w:p w14:paraId="1C56934F" w14:textId="56693F59" w:rsidR="0076745A" w:rsidRPr="00CD11DE" w:rsidRDefault="0076745A" w:rsidP="0076745A">
      <w:pPr>
        <w:rPr>
          <w:sz w:val="20"/>
          <w:szCs w:val="20"/>
        </w:rPr>
      </w:pPr>
      <w:r w:rsidRPr="00CD11DE">
        <w:rPr>
          <w:sz w:val="20"/>
          <w:szCs w:val="20"/>
        </w:rPr>
        <w:t>This document comprises the Bank’s Pillar 3 disclosures on Capital and Risk Management as at 31</w:t>
      </w:r>
      <w:r w:rsidR="009529E7" w:rsidRPr="00CD11DE">
        <w:rPr>
          <w:sz w:val="20"/>
          <w:szCs w:val="20"/>
          <w:vertAlign w:val="superscript"/>
        </w:rPr>
        <w:t>st</w:t>
      </w:r>
      <w:r w:rsidRPr="00CD11DE">
        <w:rPr>
          <w:sz w:val="20"/>
          <w:szCs w:val="20"/>
        </w:rPr>
        <w:t xml:space="preserve"> December </w:t>
      </w:r>
      <w:r w:rsidR="0023087C">
        <w:rPr>
          <w:sz w:val="20"/>
          <w:szCs w:val="20"/>
        </w:rPr>
        <w:t>2024</w:t>
      </w:r>
      <w:r w:rsidRPr="00CD11DE">
        <w:rPr>
          <w:sz w:val="20"/>
          <w:szCs w:val="20"/>
        </w:rPr>
        <w:t>. It has two principal purposes:</w:t>
      </w:r>
      <w:bookmarkEnd w:id="6"/>
      <w:bookmarkEnd w:id="7"/>
      <w:bookmarkEnd w:id="8"/>
      <w:bookmarkEnd w:id="9"/>
      <w:bookmarkEnd w:id="10"/>
      <w:bookmarkEnd w:id="11"/>
      <w:bookmarkEnd w:id="12"/>
      <w:bookmarkEnd w:id="13"/>
      <w:bookmarkEnd w:id="14"/>
    </w:p>
    <w:p w14:paraId="405DFA64" w14:textId="2A1A2175" w:rsidR="0076745A" w:rsidRPr="00CD11DE" w:rsidRDefault="0076745A" w:rsidP="009262C5">
      <w:pPr>
        <w:pStyle w:val="ListParagraph"/>
      </w:pPr>
      <w:bookmarkStart w:id="15" w:name="_Toc490211565"/>
      <w:bookmarkStart w:id="16" w:name="_Toc490476271"/>
      <w:bookmarkStart w:id="17" w:name="_Toc490485118"/>
      <w:bookmarkStart w:id="18" w:name="_Toc490752421"/>
      <w:bookmarkStart w:id="19" w:name="_Toc490752585"/>
      <w:bookmarkStart w:id="20" w:name="_Toc490753197"/>
      <w:bookmarkStart w:id="21" w:name="_Toc490753314"/>
      <w:bookmarkStart w:id="22" w:name="_Toc490758703"/>
      <w:bookmarkStart w:id="23" w:name="_Toc490759014"/>
      <w:bookmarkStart w:id="24" w:name="_Toc492021084"/>
      <w:r w:rsidRPr="00CD11DE">
        <w:t xml:space="preserve">To provide useful information on the capital and risk profile of </w:t>
      </w:r>
      <w:r w:rsidR="00FA3667" w:rsidRPr="00CD11DE">
        <w:t>the</w:t>
      </w:r>
      <w:r w:rsidRPr="00CD11DE">
        <w:t xml:space="preserve"> Bank; </w:t>
      </w:r>
      <w:bookmarkEnd w:id="15"/>
      <w:bookmarkEnd w:id="16"/>
      <w:bookmarkEnd w:id="17"/>
      <w:bookmarkEnd w:id="18"/>
      <w:bookmarkEnd w:id="19"/>
      <w:bookmarkEnd w:id="20"/>
      <w:bookmarkEnd w:id="21"/>
      <w:bookmarkEnd w:id="22"/>
      <w:bookmarkEnd w:id="23"/>
      <w:bookmarkEnd w:id="24"/>
      <w:r w:rsidRPr="00CD11DE">
        <w:t>and</w:t>
      </w:r>
    </w:p>
    <w:p w14:paraId="31676B6E" w14:textId="7A31EA18" w:rsidR="0076745A" w:rsidRPr="00CD11DE" w:rsidRDefault="005B2085" w:rsidP="009262C5">
      <w:pPr>
        <w:pStyle w:val="ListParagraph"/>
      </w:pPr>
      <w:bookmarkStart w:id="25" w:name="_Toc490211566"/>
      <w:bookmarkStart w:id="26" w:name="_Toc490476272"/>
      <w:bookmarkStart w:id="27" w:name="_Toc490485119"/>
      <w:bookmarkStart w:id="28" w:name="_Toc490752422"/>
      <w:bookmarkStart w:id="29" w:name="_Toc490752586"/>
      <w:bookmarkStart w:id="30" w:name="_Toc490753198"/>
      <w:bookmarkStart w:id="31" w:name="_Toc490753315"/>
      <w:bookmarkStart w:id="32" w:name="_Toc490758704"/>
      <w:bookmarkStart w:id="33" w:name="_Toc490759015"/>
      <w:bookmarkStart w:id="34" w:name="_Toc492021085"/>
      <w:r w:rsidRPr="00CD11DE">
        <w:t>To meet the regulatory disclosure requirements under the UK Capital Requirements Regulation (“CRR”), Part 8 and the rules of the Prudential Regulation Authority (“PRA”)</w:t>
      </w:r>
      <w:r w:rsidR="008E20BC" w:rsidRPr="00CD11DE">
        <w:rPr>
          <w:sz w:val="22"/>
        </w:rPr>
        <w:t xml:space="preserve"> </w:t>
      </w:r>
      <w:r w:rsidR="008E20BC" w:rsidRPr="00CD11DE">
        <w:t>as amended and as on</w:t>
      </w:r>
      <w:r w:rsidR="00F84096" w:rsidRPr="00CD11DE">
        <w:t>-</w:t>
      </w:r>
      <w:r w:rsidR="008E20BC" w:rsidRPr="00CD11DE">
        <w:t>shored by the UK</w:t>
      </w:r>
      <w:r w:rsidRPr="00CD11DE">
        <w:t>.</w:t>
      </w:r>
      <w:bookmarkEnd w:id="25"/>
      <w:bookmarkEnd w:id="26"/>
      <w:bookmarkEnd w:id="27"/>
      <w:bookmarkEnd w:id="28"/>
      <w:bookmarkEnd w:id="29"/>
      <w:bookmarkEnd w:id="30"/>
      <w:bookmarkEnd w:id="31"/>
      <w:bookmarkEnd w:id="32"/>
      <w:bookmarkEnd w:id="33"/>
      <w:bookmarkEnd w:id="34"/>
    </w:p>
    <w:p w14:paraId="12F93B9E" w14:textId="77777777" w:rsidR="005B2085" w:rsidRPr="00CD11DE" w:rsidRDefault="005B2085" w:rsidP="00F22F02">
      <w:pPr>
        <w:ind w:left="720"/>
      </w:pPr>
    </w:p>
    <w:p w14:paraId="039A6235" w14:textId="5EF6EA73" w:rsidR="00150096" w:rsidRPr="00C62D72" w:rsidRDefault="00C02491" w:rsidP="0023179E">
      <w:pPr>
        <w:pStyle w:val="Heading2"/>
        <w:rPr>
          <w:lang w:val="en-GB"/>
        </w:rPr>
      </w:pPr>
      <w:bookmarkStart w:id="35" w:name="_Toc492041240"/>
      <w:bookmarkStart w:id="36" w:name="_Toc492044714"/>
      <w:bookmarkStart w:id="37" w:name="_Toc492056142"/>
      <w:bookmarkStart w:id="38" w:name="_Toc492112707"/>
      <w:bookmarkStart w:id="39" w:name="_Toc492359805"/>
      <w:bookmarkStart w:id="40" w:name="_Toc492021086"/>
      <w:bookmarkStart w:id="41" w:name="_Toc201575400"/>
      <w:bookmarkEnd w:id="3"/>
      <w:bookmarkEnd w:id="35"/>
      <w:bookmarkEnd w:id="36"/>
      <w:bookmarkEnd w:id="37"/>
      <w:bookmarkEnd w:id="38"/>
      <w:bookmarkEnd w:id="39"/>
      <w:r w:rsidRPr="00C62D72">
        <w:rPr>
          <w:lang w:val="en-GB"/>
        </w:rPr>
        <w:t xml:space="preserve">Summary </w:t>
      </w:r>
      <w:r w:rsidR="005455DD" w:rsidRPr="00C62D72">
        <w:rPr>
          <w:lang w:val="en-GB"/>
        </w:rPr>
        <w:t>m</w:t>
      </w:r>
      <w:r w:rsidRPr="00C62D72">
        <w:rPr>
          <w:lang w:val="en-GB"/>
        </w:rPr>
        <w:t>etrics</w:t>
      </w:r>
      <w:bookmarkEnd w:id="40"/>
      <w:bookmarkEnd w:id="41"/>
    </w:p>
    <w:p w14:paraId="54B64FAA" w14:textId="0FE64545" w:rsidR="00B43B92" w:rsidRPr="00CD11DE" w:rsidRDefault="00B43B92" w:rsidP="00756B64">
      <w:pPr>
        <w:rPr>
          <w:sz w:val="20"/>
          <w:szCs w:val="20"/>
        </w:rPr>
      </w:pPr>
      <w:r w:rsidRPr="00CD11DE">
        <w:rPr>
          <w:sz w:val="20"/>
          <w:szCs w:val="20"/>
        </w:rPr>
        <w:t xml:space="preserve">Capital ratios remained in excess of regulatory requirements </w:t>
      </w:r>
      <w:r w:rsidR="009A490F" w:rsidRPr="00CD11DE">
        <w:rPr>
          <w:sz w:val="20"/>
          <w:szCs w:val="20"/>
        </w:rPr>
        <w:t>throughout the year and as at 31</w:t>
      </w:r>
      <w:r w:rsidR="009529E7" w:rsidRPr="00CD11DE">
        <w:rPr>
          <w:sz w:val="20"/>
          <w:szCs w:val="20"/>
          <w:vertAlign w:val="superscript"/>
        </w:rPr>
        <w:t>st</w:t>
      </w:r>
      <w:r w:rsidR="009A490F" w:rsidRPr="00CD11DE">
        <w:rPr>
          <w:sz w:val="20"/>
          <w:szCs w:val="20"/>
        </w:rPr>
        <w:t xml:space="preserve"> December</w:t>
      </w:r>
      <w:r w:rsidR="00E02C65" w:rsidRPr="00CD11DE">
        <w:rPr>
          <w:sz w:val="20"/>
          <w:szCs w:val="20"/>
        </w:rPr>
        <w:t xml:space="preserve"> </w:t>
      </w:r>
      <w:r w:rsidR="0023087C">
        <w:rPr>
          <w:sz w:val="20"/>
          <w:szCs w:val="20"/>
        </w:rPr>
        <w:t>2024</w:t>
      </w:r>
      <w:r w:rsidR="009A490F" w:rsidRPr="00CD11DE">
        <w:rPr>
          <w:sz w:val="20"/>
          <w:szCs w:val="20"/>
        </w:rPr>
        <w:t xml:space="preserve">, </w:t>
      </w:r>
      <w:r w:rsidRPr="00CD11DE">
        <w:rPr>
          <w:sz w:val="20"/>
          <w:szCs w:val="20"/>
        </w:rPr>
        <w:t>Common Equity Tier 1 (CET1) ratio</w:t>
      </w:r>
      <w:r w:rsidR="009A490F" w:rsidRPr="00CD11DE">
        <w:rPr>
          <w:sz w:val="20"/>
          <w:szCs w:val="20"/>
        </w:rPr>
        <w:t xml:space="preserve"> is </w:t>
      </w:r>
      <w:r w:rsidR="001030FC" w:rsidRPr="001030FC">
        <w:rPr>
          <w:sz w:val="20"/>
          <w:szCs w:val="20"/>
        </w:rPr>
        <w:t>16.</w:t>
      </w:r>
      <w:r w:rsidR="00527A63">
        <w:rPr>
          <w:sz w:val="20"/>
          <w:szCs w:val="20"/>
        </w:rPr>
        <w:t>0</w:t>
      </w:r>
      <w:r w:rsidRPr="001030FC">
        <w:rPr>
          <w:sz w:val="20"/>
          <w:szCs w:val="20"/>
        </w:rPr>
        <w:t>%</w:t>
      </w:r>
      <w:r w:rsidRPr="00CD11DE">
        <w:rPr>
          <w:sz w:val="20"/>
          <w:szCs w:val="20"/>
        </w:rPr>
        <w:t xml:space="preserve"> (</w:t>
      </w:r>
      <w:r w:rsidR="0023087C">
        <w:rPr>
          <w:sz w:val="20"/>
          <w:szCs w:val="20"/>
        </w:rPr>
        <w:t>2023</w:t>
      </w:r>
      <w:r w:rsidRPr="00CD11DE">
        <w:rPr>
          <w:sz w:val="20"/>
          <w:szCs w:val="20"/>
        </w:rPr>
        <w:t xml:space="preserve">: </w:t>
      </w:r>
      <w:r w:rsidR="0023087C" w:rsidRPr="00CD11DE">
        <w:rPr>
          <w:sz w:val="20"/>
          <w:szCs w:val="20"/>
        </w:rPr>
        <w:t>17.4</w:t>
      </w:r>
      <w:r w:rsidR="007917D2" w:rsidRPr="00CD11DE">
        <w:rPr>
          <w:sz w:val="20"/>
          <w:szCs w:val="20"/>
        </w:rPr>
        <w:t xml:space="preserve">%) </w:t>
      </w:r>
      <w:r w:rsidRPr="00CD11DE">
        <w:rPr>
          <w:sz w:val="20"/>
          <w:szCs w:val="20"/>
        </w:rPr>
        <w:t xml:space="preserve">and </w:t>
      </w:r>
      <w:r w:rsidR="0002586C" w:rsidRPr="00CD11DE">
        <w:rPr>
          <w:sz w:val="20"/>
          <w:szCs w:val="20"/>
        </w:rPr>
        <w:t xml:space="preserve">Total Capital </w:t>
      </w:r>
      <w:r w:rsidR="009A490F" w:rsidRPr="00CD11DE">
        <w:rPr>
          <w:sz w:val="20"/>
          <w:szCs w:val="20"/>
        </w:rPr>
        <w:t>R</w:t>
      </w:r>
      <w:r w:rsidR="0002586C" w:rsidRPr="00CD11DE">
        <w:rPr>
          <w:sz w:val="20"/>
          <w:szCs w:val="20"/>
        </w:rPr>
        <w:t>atio</w:t>
      </w:r>
      <w:r w:rsidR="009A490F" w:rsidRPr="00CD11DE">
        <w:rPr>
          <w:sz w:val="20"/>
          <w:szCs w:val="20"/>
        </w:rPr>
        <w:t xml:space="preserve"> is</w:t>
      </w:r>
      <w:r w:rsidR="003E3B41" w:rsidRPr="00CD11DE">
        <w:rPr>
          <w:sz w:val="20"/>
          <w:szCs w:val="20"/>
        </w:rPr>
        <w:t xml:space="preserve"> </w:t>
      </w:r>
      <w:r w:rsidR="001030FC">
        <w:rPr>
          <w:sz w:val="20"/>
          <w:szCs w:val="20"/>
        </w:rPr>
        <w:t>17.</w:t>
      </w:r>
      <w:r w:rsidR="003078F8">
        <w:rPr>
          <w:sz w:val="20"/>
          <w:szCs w:val="20"/>
        </w:rPr>
        <w:t>2</w:t>
      </w:r>
      <w:r w:rsidRPr="001030FC">
        <w:rPr>
          <w:sz w:val="20"/>
          <w:szCs w:val="20"/>
        </w:rPr>
        <w:t>% (</w:t>
      </w:r>
      <w:r w:rsidR="0023087C" w:rsidRPr="001030FC">
        <w:rPr>
          <w:sz w:val="20"/>
          <w:szCs w:val="20"/>
        </w:rPr>
        <w:t>2023</w:t>
      </w:r>
      <w:r w:rsidRPr="00CD11DE">
        <w:rPr>
          <w:sz w:val="20"/>
          <w:szCs w:val="20"/>
        </w:rPr>
        <w:t xml:space="preserve">: </w:t>
      </w:r>
      <w:r w:rsidR="0023087C" w:rsidRPr="00CD11DE">
        <w:rPr>
          <w:sz w:val="20"/>
          <w:szCs w:val="20"/>
        </w:rPr>
        <w:t>19.4</w:t>
      </w:r>
      <w:r w:rsidR="007917D2" w:rsidRPr="00CD11DE">
        <w:rPr>
          <w:sz w:val="20"/>
          <w:szCs w:val="20"/>
        </w:rPr>
        <w:t>%</w:t>
      </w:r>
      <w:r w:rsidRPr="00CD11DE">
        <w:rPr>
          <w:sz w:val="20"/>
          <w:szCs w:val="20"/>
        </w:rPr>
        <w:t xml:space="preserve">). </w:t>
      </w:r>
    </w:p>
    <w:p w14:paraId="711B0060" w14:textId="394B649C" w:rsidR="00B43B92" w:rsidRPr="00CD11DE" w:rsidRDefault="00540D6C" w:rsidP="00756B64">
      <w:pPr>
        <w:rPr>
          <w:sz w:val="20"/>
          <w:szCs w:val="20"/>
        </w:rPr>
      </w:pPr>
      <w:r w:rsidRPr="00CD11DE">
        <w:rPr>
          <w:sz w:val="20"/>
          <w:szCs w:val="20"/>
        </w:rPr>
        <w:t>The l</w:t>
      </w:r>
      <w:r w:rsidR="00B5163A" w:rsidRPr="00CD11DE">
        <w:rPr>
          <w:sz w:val="20"/>
          <w:szCs w:val="20"/>
        </w:rPr>
        <w:t>everage ratio</w:t>
      </w:r>
      <w:r w:rsidR="00E02C65" w:rsidRPr="00CD11DE">
        <w:rPr>
          <w:sz w:val="20"/>
          <w:szCs w:val="20"/>
        </w:rPr>
        <w:t xml:space="preserve"> is calculated per the Capital Requirements Directive IV (CRD IV)</w:t>
      </w:r>
      <w:r w:rsidR="00B5163A" w:rsidRPr="00CD11DE">
        <w:rPr>
          <w:sz w:val="20"/>
          <w:szCs w:val="20"/>
        </w:rPr>
        <w:t xml:space="preserve"> which measures the relationship between </w:t>
      </w:r>
      <w:r w:rsidR="00DA2D40" w:rsidRPr="00CD11DE">
        <w:rPr>
          <w:sz w:val="20"/>
          <w:szCs w:val="20"/>
        </w:rPr>
        <w:t>Tier 1 capital and total assets</w:t>
      </w:r>
      <w:r w:rsidR="00B43B92" w:rsidRPr="00CD11DE">
        <w:rPr>
          <w:sz w:val="20"/>
          <w:szCs w:val="20"/>
        </w:rPr>
        <w:t xml:space="preserve">, to supplement risk-based capital requirements. </w:t>
      </w:r>
      <w:r w:rsidR="00CB08D1" w:rsidRPr="00CD11DE">
        <w:rPr>
          <w:sz w:val="20"/>
          <w:szCs w:val="20"/>
        </w:rPr>
        <w:t xml:space="preserve">At present, the Bank </w:t>
      </w:r>
      <w:r w:rsidR="003670D9" w:rsidRPr="00CD11DE">
        <w:rPr>
          <w:sz w:val="20"/>
          <w:szCs w:val="20"/>
        </w:rPr>
        <w:t xml:space="preserve">is </w:t>
      </w:r>
      <w:r w:rsidR="00B5163A" w:rsidRPr="00CD11DE">
        <w:rPr>
          <w:sz w:val="20"/>
          <w:szCs w:val="20"/>
        </w:rPr>
        <w:t>not within the scope of the UK Leverage Framework Regime as its deposit levels are less than £50 billion</w:t>
      </w:r>
      <w:r w:rsidR="00B43B92" w:rsidRPr="00CD11DE">
        <w:rPr>
          <w:sz w:val="20"/>
          <w:szCs w:val="20"/>
        </w:rPr>
        <w:t xml:space="preserve">. </w:t>
      </w:r>
      <w:r w:rsidR="00384217" w:rsidRPr="00CD11DE">
        <w:rPr>
          <w:sz w:val="20"/>
          <w:szCs w:val="20"/>
        </w:rPr>
        <w:t>The Bank</w:t>
      </w:r>
      <w:r w:rsidR="009A6BDA" w:rsidRPr="00CD11DE">
        <w:rPr>
          <w:sz w:val="20"/>
          <w:szCs w:val="20"/>
        </w:rPr>
        <w:t xml:space="preserve">, as per risk appetite, </w:t>
      </w:r>
      <w:r w:rsidR="00B5163A" w:rsidRPr="00CD11DE">
        <w:rPr>
          <w:sz w:val="20"/>
          <w:szCs w:val="20"/>
        </w:rPr>
        <w:t xml:space="preserve">maintains a prudent limit well above the PRA </w:t>
      </w:r>
      <w:r w:rsidR="006A73C0" w:rsidRPr="00CD11DE">
        <w:rPr>
          <w:sz w:val="20"/>
          <w:szCs w:val="20"/>
        </w:rPr>
        <w:t xml:space="preserve">prescribed </w:t>
      </w:r>
      <w:r w:rsidR="00B5163A" w:rsidRPr="00CD11DE">
        <w:rPr>
          <w:sz w:val="20"/>
          <w:szCs w:val="20"/>
        </w:rPr>
        <w:t>minimum leverage ratio requirement</w:t>
      </w:r>
      <w:r w:rsidR="003670D9" w:rsidRPr="00CD11DE">
        <w:rPr>
          <w:sz w:val="20"/>
          <w:szCs w:val="20"/>
        </w:rPr>
        <w:t xml:space="preserve"> for larger institutions</w:t>
      </w:r>
      <w:r w:rsidR="00B5163A" w:rsidRPr="00CD11DE">
        <w:rPr>
          <w:sz w:val="20"/>
          <w:szCs w:val="20"/>
        </w:rPr>
        <w:t>.</w:t>
      </w:r>
      <w:r w:rsidR="00B43B92" w:rsidRPr="00CD11DE">
        <w:rPr>
          <w:sz w:val="20"/>
          <w:szCs w:val="20"/>
        </w:rPr>
        <w:t xml:space="preserve"> </w:t>
      </w:r>
    </w:p>
    <w:p w14:paraId="33EA57FD" w14:textId="5E430DE8" w:rsidR="00B43B92" w:rsidRPr="00CD11DE" w:rsidRDefault="001B1B64" w:rsidP="00756B64">
      <w:pPr>
        <w:rPr>
          <w:sz w:val="20"/>
          <w:szCs w:val="20"/>
        </w:rPr>
      </w:pPr>
      <w:r w:rsidRPr="00CD11DE">
        <w:rPr>
          <w:sz w:val="20"/>
          <w:szCs w:val="20"/>
        </w:rPr>
        <w:t>Under the</w:t>
      </w:r>
      <w:r w:rsidR="009A490F" w:rsidRPr="00CD11DE">
        <w:rPr>
          <w:sz w:val="20"/>
          <w:szCs w:val="20"/>
        </w:rPr>
        <w:t xml:space="preserve"> European Banking Authority’s (</w:t>
      </w:r>
      <w:r w:rsidRPr="00CD11DE">
        <w:rPr>
          <w:sz w:val="20"/>
          <w:szCs w:val="20"/>
        </w:rPr>
        <w:t>EBA</w:t>
      </w:r>
      <w:r w:rsidR="009A490F" w:rsidRPr="00CD11DE">
        <w:rPr>
          <w:sz w:val="20"/>
          <w:szCs w:val="20"/>
        </w:rPr>
        <w:t>)</w:t>
      </w:r>
      <w:r w:rsidRPr="00CD11DE">
        <w:rPr>
          <w:sz w:val="20"/>
          <w:szCs w:val="20"/>
        </w:rPr>
        <w:t xml:space="preserve"> rules on leverage, the leverage ratio is calculated by dividing Tier 1 capital by on-balance sheet</w:t>
      </w:r>
      <w:r w:rsidR="009A490F" w:rsidRPr="00CD11DE">
        <w:rPr>
          <w:sz w:val="20"/>
          <w:szCs w:val="20"/>
        </w:rPr>
        <w:t xml:space="preserve"> </w:t>
      </w:r>
      <w:r w:rsidRPr="00CD11DE">
        <w:rPr>
          <w:sz w:val="20"/>
          <w:szCs w:val="20"/>
        </w:rPr>
        <w:t>and off-balance sheet assets. The leverage ratio remained above regulatory requirements</w:t>
      </w:r>
      <w:r w:rsidR="009A490F" w:rsidRPr="00CD11DE">
        <w:rPr>
          <w:sz w:val="20"/>
          <w:szCs w:val="20"/>
        </w:rPr>
        <w:t xml:space="preserve"> throughout the year</w:t>
      </w:r>
      <w:r w:rsidR="005F30AF" w:rsidRPr="00CD11DE">
        <w:rPr>
          <w:sz w:val="20"/>
          <w:szCs w:val="20"/>
        </w:rPr>
        <w:t>, and as at 31</w:t>
      </w:r>
      <w:r w:rsidR="009529E7" w:rsidRPr="00CD11DE">
        <w:rPr>
          <w:sz w:val="20"/>
          <w:szCs w:val="20"/>
          <w:vertAlign w:val="superscript"/>
        </w:rPr>
        <w:t>st</w:t>
      </w:r>
      <w:r w:rsidR="005F30AF" w:rsidRPr="00CD11DE">
        <w:rPr>
          <w:sz w:val="20"/>
          <w:szCs w:val="20"/>
        </w:rPr>
        <w:t xml:space="preserve"> December</w:t>
      </w:r>
      <w:r w:rsidR="00A31BAB" w:rsidRPr="00CD11DE">
        <w:rPr>
          <w:sz w:val="20"/>
          <w:szCs w:val="20"/>
        </w:rPr>
        <w:t xml:space="preserve"> </w:t>
      </w:r>
      <w:r w:rsidR="0023087C">
        <w:rPr>
          <w:sz w:val="20"/>
          <w:szCs w:val="20"/>
        </w:rPr>
        <w:t>2024</w:t>
      </w:r>
      <w:r w:rsidR="005F30AF" w:rsidRPr="00CD11DE">
        <w:rPr>
          <w:sz w:val="20"/>
          <w:szCs w:val="20"/>
        </w:rPr>
        <w:t xml:space="preserve"> is</w:t>
      </w:r>
      <w:r w:rsidRPr="00CD11DE">
        <w:rPr>
          <w:sz w:val="20"/>
          <w:szCs w:val="20"/>
        </w:rPr>
        <w:t xml:space="preserve"> </w:t>
      </w:r>
      <w:r w:rsidR="001030FC">
        <w:rPr>
          <w:sz w:val="20"/>
          <w:szCs w:val="20"/>
        </w:rPr>
        <w:t>7.</w:t>
      </w:r>
      <w:r w:rsidR="001030FC" w:rsidRPr="001030FC">
        <w:rPr>
          <w:sz w:val="20"/>
          <w:szCs w:val="20"/>
        </w:rPr>
        <w:t>7</w:t>
      </w:r>
      <w:r w:rsidRPr="001030FC">
        <w:rPr>
          <w:sz w:val="20"/>
        </w:rPr>
        <w:t>%</w:t>
      </w:r>
      <w:r w:rsidRPr="00CD11DE">
        <w:rPr>
          <w:sz w:val="20"/>
          <w:szCs w:val="20"/>
        </w:rPr>
        <w:t xml:space="preserve"> (</w:t>
      </w:r>
      <w:r w:rsidR="0023087C">
        <w:rPr>
          <w:sz w:val="20"/>
          <w:szCs w:val="20"/>
        </w:rPr>
        <w:t>2023</w:t>
      </w:r>
      <w:r w:rsidRPr="00CD11DE">
        <w:rPr>
          <w:sz w:val="20"/>
          <w:szCs w:val="20"/>
        </w:rPr>
        <w:t xml:space="preserve">: </w:t>
      </w:r>
      <w:r w:rsidR="0023087C" w:rsidRPr="00CD11DE">
        <w:rPr>
          <w:sz w:val="20"/>
          <w:szCs w:val="20"/>
        </w:rPr>
        <w:t>7.8</w:t>
      </w:r>
      <w:r w:rsidRPr="00CD11DE">
        <w:rPr>
          <w:sz w:val="20"/>
          <w:szCs w:val="20"/>
        </w:rPr>
        <w:t>%)</w:t>
      </w:r>
      <w:r w:rsidR="005F30AF" w:rsidRPr="00CD11DE">
        <w:rPr>
          <w:sz w:val="20"/>
          <w:szCs w:val="20"/>
        </w:rPr>
        <w:t xml:space="preserve">. </w:t>
      </w:r>
    </w:p>
    <w:p w14:paraId="403E5B27" w14:textId="5E5F0052" w:rsidR="00B43B92" w:rsidRPr="00CD11DE" w:rsidRDefault="005F30AF" w:rsidP="00756B64">
      <w:pPr>
        <w:rPr>
          <w:sz w:val="20"/>
          <w:szCs w:val="20"/>
        </w:rPr>
      </w:pPr>
      <w:r w:rsidRPr="00CD11DE">
        <w:rPr>
          <w:sz w:val="20"/>
          <w:szCs w:val="20"/>
        </w:rPr>
        <w:t>As a</w:t>
      </w:r>
      <w:r w:rsidR="00B5163A" w:rsidRPr="00CD11DE">
        <w:rPr>
          <w:sz w:val="20"/>
          <w:szCs w:val="20"/>
        </w:rPr>
        <w:t xml:space="preserve">t </w:t>
      </w:r>
      <w:r w:rsidR="00AF5B29" w:rsidRPr="00CD11DE">
        <w:rPr>
          <w:sz w:val="20"/>
          <w:szCs w:val="20"/>
        </w:rPr>
        <w:t>31</w:t>
      </w:r>
      <w:r w:rsidR="009529E7" w:rsidRPr="00CD11DE">
        <w:rPr>
          <w:sz w:val="20"/>
          <w:szCs w:val="20"/>
          <w:vertAlign w:val="superscript"/>
        </w:rPr>
        <w:t>st</w:t>
      </w:r>
      <w:r w:rsidR="00AF5B29" w:rsidRPr="00CD11DE">
        <w:rPr>
          <w:sz w:val="20"/>
          <w:szCs w:val="20"/>
        </w:rPr>
        <w:t xml:space="preserve"> December </w:t>
      </w:r>
      <w:r w:rsidR="0023087C">
        <w:rPr>
          <w:sz w:val="20"/>
          <w:szCs w:val="20"/>
        </w:rPr>
        <w:t>2024</w:t>
      </w:r>
      <w:r w:rsidR="00B43B92" w:rsidRPr="00CD11DE">
        <w:rPr>
          <w:sz w:val="20"/>
          <w:szCs w:val="20"/>
        </w:rPr>
        <w:t xml:space="preserve">, the </w:t>
      </w:r>
      <w:r w:rsidR="00B5163A" w:rsidRPr="00CD11DE">
        <w:rPr>
          <w:sz w:val="20"/>
          <w:szCs w:val="20"/>
        </w:rPr>
        <w:t>Bank</w:t>
      </w:r>
      <w:r w:rsidR="00B43B92" w:rsidRPr="00CD11DE">
        <w:rPr>
          <w:sz w:val="20"/>
          <w:szCs w:val="20"/>
        </w:rPr>
        <w:t xml:space="preserve">’s Liquidity Coverage Ratio (LCR) was </w:t>
      </w:r>
      <w:r w:rsidR="001030FC">
        <w:rPr>
          <w:sz w:val="20"/>
          <w:szCs w:val="20"/>
        </w:rPr>
        <w:t>74</w:t>
      </w:r>
      <w:r w:rsidR="0072261D">
        <w:rPr>
          <w:sz w:val="20"/>
          <w:szCs w:val="20"/>
        </w:rPr>
        <w:t>6</w:t>
      </w:r>
      <w:r w:rsidR="00B43B92" w:rsidRPr="001030FC">
        <w:rPr>
          <w:sz w:val="20"/>
        </w:rPr>
        <w:t>%</w:t>
      </w:r>
      <w:r w:rsidR="00B43B92" w:rsidRPr="00CD11DE">
        <w:rPr>
          <w:sz w:val="20"/>
          <w:szCs w:val="20"/>
        </w:rPr>
        <w:t xml:space="preserve"> (</w:t>
      </w:r>
      <w:r w:rsidR="0023087C">
        <w:rPr>
          <w:sz w:val="20"/>
          <w:szCs w:val="20"/>
        </w:rPr>
        <w:t>2023</w:t>
      </w:r>
      <w:r w:rsidR="00B43B92" w:rsidRPr="00CD11DE">
        <w:rPr>
          <w:sz w:val="20"/>
          <w:szCs w:val="20"/>
        </w:rPr>
        <w:t xml:space="preserve">: </w:t>
      </w:r>
      <w:r w:rsidR="0023087C" w:rsidRPr="00CD11DE">
        <w:rPr>
          <w:sz w:val="20"/>
          <w:szCs w:val="20"/>
        </w:rPr>
        <w:t>786</w:t>
      </w:r>
      <w:r w:rsidR="00B43B92" w:rsidRPr="00CD11DE">
        <w:rPr>
          <w:sz w:val="20"/>
          <w:szCs w:val="20"/>
        </w:rPr>
        <w:t>%). Th</w:t>
      </w:r>
      <w:r w:rsidR="00E02C65" w:rsidRPr="00CD11DE">
        <w:rPr>
          <w:sz w:val="20"/>
          <w:szCs w:val="20"/>
        </w:rPr>
        <w:t>e</w:t>
      </w:r>
      <w:r w:rsidR="00B43B92" w:rsidRPr="00CD11DE">
        <w:rPr>
          <w:sz w:val="20"/>
          <w:szCs w:val="20"/>
        </w:rPr>
        <w:t xml:space="preserve"> LCR exceeds the</w:t>
      </w:r>
      <w:r w:rsidRPr="00CD11DE">
        <w:rPr>
          <w:sz w:val="20"/>
          <w:szCs w:val="20"/>
        </w:rPr>
        <w:t xml:space="preserve"> </w:t>
      </w:r>
      <w:r w:rsidR="00B43B92" w:rsidRPr="00CD11DE">
        <w:rPr>
          <w:sz w:val="20"/>
          <w:szCs w:val="20"/>
        </w:rPr>
        <w:t>UK regulatory minimum requirement</w:t>
      </w:r>
      <w:r w:rsidR="0043407D" w:rsidRPr="00CD11DE">
        <w:rPr>
          <w:sz w:val="20"/>
          <w:szCs w:val="20"/>
        </w:rPr>
        <w:t>.</w:t>
      </w:r>
      <w:r w:rsidR="003433AA">
        <w:rPr>
          <w:sz w:val="20"/>
          <w:szCs w:val="20"/>
        </w:rPr>
        <w:t xml:space="preserve"> </w:t>
      </w:r>
    </w:p>
    <w:p w14:paraId="2FEA681F" w14:textId="7D9C3F7F" w:rsidR="00960C74" w:rsidRPr="00CD11DE" w:rsidRDefault="00B43B92" w:rsidP="00B35480">
      <w:r w:rsidRPr="00CD11DE">
        <w:rPr>
          <w:sz w:val="20"/>
          <w:szCs w:val="20"/>
        </w:rPr>
        <w:t>Full details</w:t>
      </w:r>
      <w:r w:rsidR="005F30AF" w:rsidRPr="00CD11DE">
        <w:rPr>
          <w:sz w:val="20"/>
          <w:szCs w:val="20"/>
        </w:rPr>
        <w:t xml:space="preserve"> regarding </w:t>
      </w:r>
      <w:r w:rsidR="006A73C0" w:rsidRPr="00CD11DE">
        <w:rPr>
          <w:sz w:val="20"/>
          <w:szCs w:val="20"/>
        </w:rPr>
        <w:t>the Bank</w:t>
      </w:r>
      <w:r w:rsidR="00666C87" w:rsidRPr="00CD11DE">
        <w:rPr>
          <w:sz w:val="20"/>
          <w:szCs w:val="20"/>
        </w:rPr>
        <w:t>’</w:t>
      </w:r>
      <w:r w:rsidRPr="00CD11DE">
        <w:rPr>
          <w:sz w:val="20"/>
          <w:szCs w:val="20"/>
        </w:rPr>
        <w:t>s overall financial position can be found</w:t>
      </w:r>
      <w:r w:rsidR="005F30AF" w:rsidRPr="00CD11DE">
        <w:rPr>
          <w:sz w:val="20"/>
          <w:szCs w:val="20"/>
        </w:rPr>
        <w:t xml:space="preserve"> </w:t>
      </w:r>
      <w:r w:rsidRPr="00CD11DE">
        <w:rPr>
          <w:sz w:val="20"/>
          <w:szCs w:val="20"/>
        </w:rPr>
        <w:t>in the Annual Report and</w:t>
      </w:r>
      <w:r w:rsidR="005F30AF" w:rsidRPr="00CD11DE">
        <w:rPr>
          <w:sz w:val="20"/>
          <w:szCs w:val="20"/>
        </w:rPr>
        <w:t xml:space="preserve"> Financial Statements for the year ended 31 December </w:t>
      </w:r>
      <w:r w:rsidR="0023087C">
        <w:rPr>
          <w:sz w:val="20"/>
          <w:szCs w:val="20"/>
        </w:rPr>
        <w:t>2024</w:t>
      </w:r>
      <w:r w:rsidR="00960C74" w:rsidRPr="00CD11DE">
        <w:rPr>
          <w:sz w:val="20"/>
          <w:szCs w:val="20"/>
        </w:rPr>
        <w:t xml:space="preserve"> </w:t>
      </w:r>
      <w:r w:rsidR="00B34CB7" w:rsidRPr="00CD11DE">
        <w:rPr>
          <w:sz w:val="20"/>
          <w:szCs w:val="20"/>
        </w:rPr>
        <w:t>(</w:t>
      </w:r>
      <w:r w:rsidR="005F30AF" w:rsidRPr="00CD11DE">
        <w:rPr>
          <w:sz w:val="20"/>
          <w:szCs w:val="20"/>
        </w:rPr>
        <w:t>the Accounts</w:t>
      </w:r>
      <w:r w:rsidR="00DC3095" w:rsidRPr="00CD11DE">
        <w:rPr>
          <w:sz w:val="20"/>
          <w:szCs w:val="20"/>
        </w:rPr>
        <w:t>)</w:t>
      </w:r>
      <w:r w:rsidR="005F30AF" w:rsidRPr="00CD11DE">
        <w:rPr>
          <w:sz w:val="20"/>
          <w:szCs w:val="20"/>
        </w:rPr>
        <w:t xml:space="preserve">. A </w:t>
      </w:r>
      <w:r w:rsidRPr="00CD11DE">
        <w:rPr>
          <w:sz w:val="20"/>
          <w:szCs w:val="20"/>
        </w:rPr>
        <w:t>summary of</w:t>
      </w:r>
      <w:r w:rsidR="005F30AF" w:rsidRPr="00CD11DE">
        <w:rPr>
          <w:sz w:val="20"/>
          <w:szCs w:val="20"/>
        </w:rPr>
        <w:t xml:space="preserve"> the key metrics </w:t>
      </w:r>
      <w:r w:rsidR="00F07B6E" w:rsidRPr="00CD11DE">
        <w:rPr>
          <w:sz w:val="20"/>
          <w:szCs w:val="20"/>
        </w:rPr>
        <w:t>is</w:t>
      </w:r>
      <w:r w:rsidR="005F30AF" w:rsidRPr="00CD11DE">
        <w:rPr>
          <w:sz w:val="20"/>
          <w:szCs w:val="20"/>
        </w:rPr>
        <w:t xml:space="preserve"> shown </w:t>
      </w:r>
      <w:r w:rsidR="00EC06B5" w:rsidRPr="00CD11DE">
        <w:rPr>
          <w:sz w:val="20"/>
          <w:szCs w:val="20"/>
        </w:rPr>
        <w:t>below</w:t>
      </w:r>
      <w:r w:rsidRPr="00CD11DE">
        <w:rPr>
          <w:sz w:val="20"/>
          <w:szCs w:val="20"/>
        </w:rPr>
        <w:t>.</w:t>
      </w:r>
    </w:p>
    <w:p w14:paraId="4B5C0B9E" w14:textId="767EB189" w:rsidR="007A7D4E" w:rsidRPr="00CD11DE" w:rsidRDefault="007A7D4E" w:rsidP="00F260C3">
      <w:pPr>
        <w:pStyle w:val="Subtitle"/>
        <w:rPr>
          <w:sz w:val="20"/>
          <w:szCs w:val="20"/>
        </w:rPr>
      </w:pPr>
      <w:r w:rsidRPr="00CD11DE">
        <w:rPr>
          <w:sz w:val="20"/>
          <w:szCs w:val="20"/>
        </w:rPr>
        <w:t>K</w:t>
      </w:r>
      <w:r w:rsidR="00666C87" w:rsidRPr="00CD11DE">
        <w:rPr>
          <w:sz w:val="20"/>
          <w:szCs w:val="20"/>
        </w:rPr>
        <w:t>ey metrics</w:t>
      </w:r>
    </w:p>
    <w:p w14:paraId="42F7D74D" w14:textId="640D0A91" w:rsidR="00D36AD0" w:rsidRPr="00CD11DE" w:rsidRDefault="00D36AD0"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1</w:t>
      </w:r>
      <w:r w:rsidRPr="00CD11DE">
        <w:fldChar w:fldCharType="end"/>
      </w:r>
      <w:r w:rsidRPr="00CD11DE">
        <w:t>: Available capital £m</w:t>
      </w:r>
    </w:p>
    <w:tbl>
      <w:tblPr>
        <w:tblW w:w="9218" w:type="dxa"/>
        <w:tblLook w:val="04A0" w:firstRow="1" w:lastRow="0" w:firstColumn="1" w:lastColumn="0" w:noHBand="0" w:noVBand="1"/>
      </w:tblPr>
      <w:tblGrid>
        <w:gridCol w:w="5852"/>
        <w:gridCol w:w="1664"/>
        <w:gridCol w:w="1702"/>
      </w:tblGrid>
      <w:tr w:rsidR="002F22A2" w:rsidRPr="00CD11DE" w14:paraId="6B5AC6D8" w14:textId="0A270E92"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253687BD" w14:textId="77777777" w:rsidR="002F22A2" w:rsidRPr="00CD11DE" w:rsidRDefault="002F22A2" w:rsidP="001B3C5D">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w:t>
            </w:r>
          </w:p>
        </w:tc>
        <w:tc>
          <w:tcPr>
            <w:tcW w:w="1664"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3802213F" w14:textId="6E3CF90C" w:rsidR="002F22A2" w:rsidRPr="00CD11DE" w:rsidRDefault="002F22A2" w:rsidP="000F3852">
            <w:pPr>
              <w:keepLines w:val="0"/>
              <w:spacing w:after="0" w:line="240" w:lineRule="auto"/>
              <w:jc w:val="right"/>
              <w:rPr>
                <w:color w:val="FFFFFF"/>
                <w:sz w:val="18"/>
                <w:szCs w:val="18"/>
              </w:rPr>
            </w:pPr>
            <w:r>
              <w:rPr>
                <w:rFonts w:eastAsia="Times New Roman"/>
                <w:bCs/>
                <w:color w:val="FFFFFF"/>
                <w:sz w:val="18"/>
                <w:szCs w:val="18"/>
              </w:rPr>
              <w:t>2024</w:t>
            </w:r>
          </w:p>
        </w:tc>
        <w:tc>
          <w:tcPr>
            <w:tcW w:w="1702"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44C24195" w14:textId="342B42C3" w:rsidR="002F22A2" w:rsidRPr="00CD11DE" w:rsidRDefault="002F22A2" w:rsidP="000F3852">
            <w:pPr>
              <w:keepLines w:val="0"/>
              <w:spacing w:after="0" w:line="240" w:lineRule="auto"/>
              <w:jc w:val="right"/>
              <w:rPr>
                <w:rFonts w:eastAsia="Times New Roman"/>
                <w:bCs/>
                <w:color w:val="FFFFFF"/>
                <w:sz w:val="18"/>
                <w:szCs w:val="18"/>
              </w:rPr>
            </w:pPr>
            <w:r>
              <w:rPr>
                <w:color w:val="FFFFFF" w:themeColor="background1"/>
                <w:sz w:val="18"/>
                <w:szCs w:val="18"/>
              </w:rPr>
              <w:t>2023</w:t>
            </w:r>
          </w:p>
        </w:tc>
      </w:tr>
      <w:tr w:rsidR="002F22A2" w:rsidRPr="00CD11DE" w14:paraId="69D5EFC3" w14:textId="59FE6C3C"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148B44E2" w14:textId="77777777" w:rsidR="002F22A2" w:rsidRPr="00CD11DE" w:rsidRDefault="002F22A2" w:rsidP="001B3C5D">
            <w:pPr>
              <w:keepLines w:val="0"/>
              <w:spacing w:after="0" w:line="240" w:lineRule="auto"/>
              <w:jc w:val="left"/>
              <w:rPr>
                <w:rFonts w:eastAsia="Times New Roman"/>
                <w:bCs/>
                <w:color w:val="FFFFFF"/>
                <w:sz w:val="18"/>
                <w:szCs w:val="18"/>
              </w:rPr>
            </w:pPr>
            <w:r w:rsidRPr="00CD11DE">
              <w:rPr>
                <w:rFonts w:eastAsia="Times New Roman"/>
                <w:bCs/>
                <w:color w:val="FFFFFF"/>
                <w:sz w:val="18"/>
                <w:szCs w:val="18"/>
              </w:rPr>
              <w:t>Total Risk Weighted Assets (RWA)</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E41AE" w14:textId="76FF40F8" w:rsidR="002F22A2" w:rsidRPr="00CD11DE" w:rsidRDefault="002F22A2" w:rsidP="000F3852">
            <w:pPr>
              <w:keepLines w:val="0"/>
              <w:spacing w:after="0" w:line="240" w:lineRule="auto"/>
              <w:jc w:val="right"/>
              <w:rPr>
                <w:sz w:val="18"/>
                <w:szCs w:val="18"/>
              </w:rPr>
            </w:pPr>
            <w:r>
              <w:rPr>
                <w:sz w:val="18"/>
                <w:szCs w:val="18"/>
              </w:rPr>
              <w:t>1,</w:t>
            </w:r>
            <w:r w:rsidR="00E32637">
              <w:rPr>
                <w:sz w:val="18"/>
                <w:szCs w:val="18"/>
              </w:rPr>
              <w:t>30</w:t>
            </w:r>
            <w:r w:rsidR="00F4057A">
              <w:rPr>
                <w:sz w:val="18"/>
                <w:szCs w:val="18"/>
              </w:rPr>
              <w:t>7.</w:t>
            </w:r>
            <w:r w:rsidR="004A7BAD">
              <w:rPr>
                <w:sz w:val="18"/>
                <w:szCs w:val="18"/>
              </w:rPr>
              <w:t>8</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972A" w14:textId="396C5518" w:rsidR="002F22A2" w:rsidRPr="00CD11DE" w:rsidRDefault="002F22A2" w:rsidP="000F3852">
            <w:pPr>
              <w:keepLines w:val="0"/>
              <w:spacing w:after="0" w:line="240" w:lineRule="auto"/>
              <w:jc w:val="right"/>
              <w:rPr>
                <w:rFonts w:eastAsia="Times New Roman"/>
                <w:sz w:val="18"/>
                <w:szCs w:val="18"/>
              </w:rPr>
            </w:pPr>
            <w:r w:rsidRPr="00CD11DE">
              <w:rPr>
                <w:sz w:val="18"/>
                <w:szCs w:val="18"/>
              </w:rPr>
              <w:t>1,059.1</w:t>
            </w:r>
          </w:p>
        </w:tc>
      </w:tr>
      <w:tr w:rsidR="002F22A2" w:rsidRPr="00CD11DE" w14:paraId="7BE92C5A" w14:textId="43AAF84F" w:rsidTr="007E0530">
        <w:trPr>
          <w:trHeight w:val="44"/>
        </w:trPr>
        <w:tc>
          <w:tcPr>
            <w:tcW w:w="5852" w:type="dxa"/>
            <w:tcBorders>
              <w:top w:val="single" w:sz="4" w:space="0" w:color="auto"/>
              <w:left w:val="single" w:sz="8" w:space="0" w:color="FFFFFF"/>
              <w:bottom w:val="single" w:sz="4" w:space="0" w:color="auto"/>
            </w:tcBorders>
            <w:shd w:val="clear" w:color="auto" w:fill="auto"/>
            <w:vAlign w:val="center"/>
          </w:tcPr>
          <w:p w14:paraId="2D333C8A" w14:textId="77777777" w:rsidR="002F22A2" w:rsidRPr="00CD11DE" w:rsidRDefault="002F22A2" w:rsidP="001B3C5D">
            <w:pPr>
              <w:keepLines w:val="0"/>
              <w:spacing w:after="0" w:line="240" w:lineRule="auto"/>
              <w:jc w:val="left"/>
              <w:rPr>
                <w:rFonts w:eastAsia="Times New Roman"/>
                <w:bCs/>
                <w:color w:val="FFFFFF"/>
                <w:sz w:val="18"/>
                <w:szCs w:val="18"/>
              </w:rPr>
            </w:pPr>
          </w:p>
        </w:tc>
        <w:tc>
          <w:tcPr>
            <w:tcW w:w="1664" w:type="dxa"/>
            <w:tcBorders>
              <w:top w:val="single" w:sz="4" w:space="0" w:color="auto"/>
              <w:bottom w:val="single" w:sz="4" w:space="0" w:color="auto"/>
            </w:tcBorders>
            <w:shd w:val="clear" w:color="auto" w:fill="auto"/>
            <w:noWrap/>
            <w:vAlign w:val="center"/>
          </w:tcPr>
          <w:p w14:paraId="21A644EA" w14:textId="77777777" w:rsidR="002F22A2" w:rsidRPr="00CD11DE" w:rsidRDefault="002F22A2" w:rsidP="000F3852">
            <w:pPr>
              <w:keepLines w:val="0"/>
              <w:spacing w:after="0" w:line="240" w:lineRule="auto"/>
              <w:jc w:val="right"/>
              <w:rPr>
                <w:rFonts w:eastAsia="Times New Roman"/>
                <w:sz w:val="18"/>
                <w:szCs w:val="18"/>
              </w:rPr>
            </w:pPr>
          </w:p>
        </w:tc>
        <w:tc>
          <w:tcPr>
            <w:tcW w:w="1702" w:type="dxa"/>
            <w:tcBorders>
              <w:top w:val="single" w:sz="4" w:space="0" w:color="auto"/>
              <w:bottom w:val="single" w:sz="4" w:space="0" w:color="auto"/>
            </w:tcBorders>
            <w:shd w:val="clear" w:color="auto" w:fill="auto"/>
            <w:noWrap/>
            <w:vAlign w:val="center"/>
          </w:tcPr>
          <w:p w14:paraId="02AE8321" w14:textId="77777777" w:rsidR="002F22A2" w:rsidRPr="00CD11DE" w:rsidRDefault="002F22A2" w:rsidP="000F3852">
            <w:pPr>
              <w:keepLines w:val="0"/>
              <w:spacing w:after="0" w:line="240" w:lineRule="auto"/>
              <w:jc w:val="right"/>
              <w:rPr>
                <w:rFonts w:eastAsia="Times New Roman"/>
                <w:sz w:val="18"/>
                <w:szCs w:val="18"/>
              </w:rPr>
            </w:pPr>
          </w:p>
        </w:tc>
      </w:tr>
      <w:tr w:rsidR="002F22A2" w:rsidRPr="00CD11DE" w14:paraId="64BD0BAA" w14:textId="7DE1DB12"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4F5BECF2" w14:textId="77777777" w:rsidR="002F22A2" w:rsidRPr="00CD11DE" w:rsidRDefault="002F22A2" w:rsidP="0023087C">
            <w:pPr>
              <w:keepLines w:val="0"/>
              <w:spacing w:after="0" w:line="240" w:lineRule="auto"/>
              <w:jc w:val="left"/>
              <w:rPr>
                <w:rFonts w:eastAsia="Times New Roman"/>
                <w:bCs/>
                <w:color w:val="FFFFFF"/>
                <w:sz w:val="18"/>
                <w:szCs w:val="18"/>
              </w:rPr>
            </w:pPr>
            <w:bookmarkStart w:id="42" w:name="_Hlk38234679"/>
            <w:r w:rsidRPr="00CD11DE">
              <w:rPr>
                <w:rFonts w:eastAsia="Times New Roman"/>
                <w:bCs/>
                <w:color w:val="FFFFFF"/>
                <w:sz w:val="18"/>
                <w:szCs w:val="18"/>
              </w:rPr>
              <w:t>Common Equity Tier 1</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DE957" w14:textId="594B0F7D" w:rsidR="002F22A2" w:rsidRPr="00CD11DE" w:rsidRDefault="002F22A2" w:rsidP="0023087C">
            <w:pPr>
              <w:keepLines w:val="0"/>
              <w:spacing w:after="0" w:line="240" w:lineRule="auto"/>
              <w:jc w:val="right"/>
              <w:rPr>
                <w:sz w:val="18"/>
                <w:szCs w:val="18"/>
              </w:rPr>
            </w:pPr>
            <w:r>
              <w:rPr>
                <w:sz w:val="18"/>
                <w:szCs w:val="18"/>
              </w:rPr>
              <w:t>208.</w:t>
            </w:r>
            <w:r w:rsidR="00C66D6C">
              <w:rPr>
                <w:sz w:val="18"/>
                <w:szCs w:val="18"/>
              </w:rPr>
              <w:t>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77E4" w14:textId="2F9E05B4" w:rsidR="002F22A2" w:rsidRPr="00CD11DE" w:rsidRDefault="002F22A2" w:rsidP="0023087C">
            <w:pPr>
              <w:keepLines w:val="0"/>
              <w:spacing w:after="0" w:line="240" w:lineRule="auto"/>
              <w:jc w:val="right"/>
              <w:rPr>
                <w:rFonts w:eastAsia="Times New Roman"/>
                <w:sz w:val="18"/>
                <w:szCs w:val="18"/>
              </w:rPr>
            </w:pPr>
            <w:r w:rsidRPr="00CD11DE">
              <w:rPr>
                <w:sz w:val="18"/>
                <w:szCs w:val="18"/>
              </w:rPr>
              <w:t>183.9</w:t>
            </w:r>
          </w:p>
        </w:tc>
      </w:tr>
      <w:tr w:rsidR="002F22A2" w:rsidRPr="00CD11DE" w14:paraId="40315A6A" w14:textId="3E444815"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5507E212" w14:textId="1356A7F2" w:rsidR="002F22A2" w:rsidRPr="00CD11DE" w:rsidRDefault="002F22A2" w:rsidP="0023087C">
            <w:pPr>
              <w:keepLines w:val="0"/>
              <w:spacing w:after="0" w:line="240" w:lineRule="auto"/>
              <w:jc w:val="left"/>
              <w:rPr>
                <w:rFonts w:eastAsia="Times New Roman"/>
                <w:bCs/>
                <w:color w:val="FFFFFF"/>
                <w:sz w:val="18"/>
                <w:szCs w:val="18"/>
              </w:rPr>
            </w:pPr>
            <w:r w:rsidRPr="00CD11DE">
              <w:rPr>
                <w:rFonts w:eastAsia="Times New Roman"/>
                <w:bCs/>
                <w:color w:val="FFFFFF"/>
                <w:sz w:val="18"/>
                <w:szCs w:val="18"/>
              </w:rPr>
              <w:t>Additional Tier 1</w:t>
            </w:r>
            <w:r>
              <w:rPr>
                <w:rStyle w:val="FootnoteReference"/>
                <w:rFonts w:eastAsia="Times New Roman"/>
                <w:bCs/>
                <w:color w:val="FFFFFF"/>
                <w:sz w:val="18"/>
                <w:szCs w:val="18"/>
              </w:rPr>
              <w:footnoteReference w:id="2"/>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8AE8D" w14:textId="5C4D9551" w:rsidR="002F22A2" w:rsidRPr="00CD11DE" w:rsidRDefault="002F22A2" w:rsidP="002F22A2">
            <w:pPr>
              <w:keepLines w:val="0"/>
              <w:spacing w:after="0" w:line="240" w:lineRule="auto"/>
              <w:jc w:val="right"/>
              <w:rPr>
                <w:sz w:val="18"/>
                <w:szCs w:val="18"/>
              </w:rPr>
            </w:pPr>
            <w:r>
              <w:rPr>
                <w:sz w:val="18"/>
                <w:szCs w:val="18"/>
              </w:rPr>
              <w:t>3.0</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11D0" w14:textId="276636D8" w:rsidR="002F22A2" w:rsidRPr="00CD11DE" w:rsidRDefault="002F22A2" w:rsidP="0023087C">
            <w:pPr>
              <w:keepLines w:val="0"/>
              <w:spacing w:after="0" w:line="240" w:lineRule="auto"/>
              <w:jc w:val="right"/>
              <w:rPr>
                <w:rFonts w:eastAsia="Times New Roman"/>
                <w:sz w:val="18"/>
                <w:szCs w:val="18"/>
              </w:rPr>
            </w:pPr>
            <w:r w:rsidRPr="00CD11DE">
              <w:rPr>
                <w:sz w:val="18"/>
                <w:szCs w:val="18"/>
              </w:rPr>
              <w:t>3.0</w:t>
            </w:r>
          </w:p>
        </w:tc>
      </w:tr>
      <w:tr w:rsidR="002F22A2" w:rsidRPr="00CD11DE" w14:paraId="1EC40AEC" w14:textId="565603B4"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294B7A41" w14:textId="6218F252" w:rsidR="002F22A2" w:rsidRPr="00CD11DE" w:rsidRDefault="002F22A2" w:rsidP="0023087C">
            <w:pPr>
              <w:keepLines w:val="0"/>
              <w:spacing w:after="0" w:line="240" w:lineRule="auto"/>
              <w:jc w:val="left"/>
              <w:rPr>
                <w:rFonts w:eastAsia="Times New Roman"/>
                <w:bCs/>
                <w:color w:val="FFFFFF"/>
                <w:sz w:val="18"/>
                <w:szCs w:val="18"/>
              </w:rPr>
            </w:pPr>
            <w:r w:rsidRPr="00CD11DE">
              <w:rPr>
                <w:rFonts w:eastAsia="Times New Roman"/>
                <w:bCs/>
                <w:color w:val="FFFFFF"/>
                <w:sz w:val="18"/>
                <w:szCs w:val="18"/>
              </w:rPr>
              <w:t>Tier 1</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E81A" w14:textId="5C4E3067" w:rsidR="002F22A2" w:rsidRPr="00CD11DE" w:rsidRDefault="002F22A2" w:rsidP="0023087C">
            <w:pPr>
              <w:keepLines w:val="0"/>
              <w:spacing w:after="0" w:line="240" w:lineRule="auto"/>
              <w:jc w:val="right"/>
              <w:rPr>
                <w:sz w:val="18"/>
                <w:szCs w:val="18"/>
              </w:rPr>
            </w:pPr>
            <w:r>
              <w:rPr>
                <w:sz w:val="18"/>
                <w:szCs w:val="18"/>
              </w:rPr>
              <w:t>211.</w:t>
            </w:r>
            <w:r w:rsidR="00C66D6C">
              <w:rPr>
                <w:sz w:val="18"/>
                <w:szCs w:val="18"/>
              </w:rPr>
              <w:t>2</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1B23" w14:textId="3EA3B570" w:rsidR="002F22A2" w:rsidRPr="00CD11DE" w:rsidRDefault="002F22A2" w:rsidP="0023087C">
            <w:pPr>
              <w:keepLines w:val="0"/>
              <w:spacing w:after="0" w:line="240" w:lineRule="auto"/>
              <w:jc w:val="right"/>
              <w:rPr>
                <w:rFonts w:eastAsia="Times New Roman"/>
                <w:sz w:val="18"/>
                <w:szCs w:val="18"/>
              </w:rPr>
            </w:pPr>
            <w:r w:rsidRPr="00CD11DE">
              <w:rPr>
                <w:sz w:val="18"/>
                <w:szCs w:val="18"/>
              </w:rPr>
              <w:t>186.9</w:t>
            </w:r>
          </w:p>
        </w:tc>
      </w:tr>
      <w:tr w:rsidR="002F22A2" w:rsidRPr="00CD11DE" w14:paraId="77E48244" w14:textId="6817912E"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1F34C7FD" w14:textId="7E75AE4D" w:rsidR="002F22A2" w:rsidRPr="00CD11DE" w:rsidRDefault="002F22A2" w:rsidP="0023087C">
            <w:pPr>
              <w:keepLines w:val="0"/>
              <w:spacing w:after="0" w:line="240" w:lineRule="auto"/>
              <w:jc w:val="left"/>
              <w:rPr>
                <w:rFonts w:eastAsia="Times New Roman"/>
                <w:bCs/>
                <w:color w:val="FFFFFF"/>
                <w:sz w:val="18"/>
                <w:szCs w:val="18"/>
              </w:rPr>
            </w:pPr>
            <w:r w:rsidRPr="00CD11DE">
              <w:rPr>
                <w:rFonts w:eastAsia="Times New Roman"/>
                <w:bCs/>
                <w:color w:val="FFFFFF"/>
                <w:sz w:val="18"/>
                <w:szCs w:val="18"/>
              </w:rPr>
              <w:t>Tier 2</w:t>
            </w:r>
            <w:r>
              <w:rPr>
                <w:rStyle w:val="FootnoteReference"/>
                <w:rFonts w:eastAsia="Times New Roman"/>
                <w:bCs/>
                <w:color w:val="FFFFFF"/>
                <w:sz w:val="18"/>
                <w:szCs w:val="18"/>
              </w:rPr>
              <w:footnoteReference w:id="3"/>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FB1E" w14:textId="2974513F" w:rsidR="002F22A2" w:rsidRPr="00CD11DE" w:rsidRDefault="002F22A2" w:rsidP="0023087C">
            <w:pPr>
              <w:keepLines w:val="0"/>
              <w:spacing w:after="0" w:line="240" w:lineRule="auto"/>
              <w:jc w:val="right"/>
              <w:rPr>
                <w:sz w:val="18"/>
                <w:szCs w:val="18"/>
              </w:rPr>
            </w:pPr>
            <w:r>
              <w:rPr>
                <w:sz w:val="18"/>
                <w:szCs w:val="18"/>
              </w:rPr>
              <w:t>13.7</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68F4D" w14:textId="6E5DA345" w:rsidR="002F22A2" w:rsidRPr="00CD11DE" w:rsidRDefault="002F22A2" w:rsidP="0023087C">
            <w:pPr>
              <w:keepLines w:val="0"/>
              <w:spacing w:after="0" w:line="240" w:lineRule="auto"/>
              <w:jc w:val="right"/>
              <w:rPr>
                <w:rFonts w:eastAsia="Times New Roman"/>
                <w:sz w:val="18"/>
                <w:szCs w:val="18"/>
              </w:rPr>
            </w:pPr>
            <w:r w:rsidRPr="00CD11DE">
              <w:rPr>
                <w:sz w:val="18"/>
                <w:szCs w:val="18"/>
              </w:rPr>
              <w:t>18.7</w:t>
            </w:r>
          </w:p>
        </w:tc>
      </w:tr>
      <w:tr w:rsidR="002F22A2" w:rsidRPr="00CD11DE" w14:paraId="5E4B3C38" w14:textId="35062D39" w:rsidTr="006F3279">
        <w:trPr>
          <w:trHeight w:val="260"/>
        </w:trPr>
        <w:tc>
          <w:tcPr>
            <w:tcW w:w="5852"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43756E8C" w14:textId="77777777" w:rsidR="002F22A2" w:rsidRPr="00CD11DE" w:rsidRDefault="002F22A2" w:rsidP="0023087C">
            <w:pPr>
              <w:keepLines w:val="0"/>
              <w:spacing w:after="0" w:line="240" w:lineRule="auto"/>
              <w:jc w:val="left"/>
              <w:rPr>
                <w:rFonts w:eastAsia="Times New Roman"/>
                <w:bCs/>
                <w:color w:val="FFFFFF"/>
                <w:sz w:val="18"/>
                <w:szCs w:val="18"/>
              </w:rPr>
            </w:pPr>
            <w:r w:rsidRPr="00CD11DE">
              <w:rPr>
                <w:rFonts w:eastAsia="Times New Roman"/>
                <w:bCs/>
                <w:color w:val="FFFFFF"/>
                <w:sz w:val="18"/>
                <w:szCs w:val="18"/>
              </w:rPr>
              <w:t>Total Capital</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EB905" w14:textId="4ABD33D6" w:rsidR="002F22A2" w:rsidRPr="00CD11DE" w:rsidRDefault="002F22A2" w:rsidP="0023087C">
            <w:pPr>
              <w:keepLines w:val="0"/>
              <w:spacing w:after="0" w:line="240" w:lineRule="auto"/>
              <w:jc w:val="right"/>
              <w:rPr>
                <w:sz w:val="18"/>
                <w:szCs w:val="18"/>
              </w:rPr>
            </w:pPr>
            <w:r>
              <w:rPr>
                <w:sz w:val="18"/>
                <w:szCs w:val="18"/>
              </w:rPr>
              <w:t>22</w:t>
            </w:r>
            <w:r w:rsidR="00C66D6C">
              <w:rPr>
                <w:sz w:val="18"/>
                <w:szCs w:val="18"/>
              </w:rPr>
              <w:t>4.9</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CA539" w14:textId="577A7ABF" w:rsidR="002F22A2" w:rsidRPr="00CD11DE" w:rsidRDefault="002F22A2" w:rsidP="0023087C">
            <w:pPr>
              <w:keepLines w:val="0"/>
              <w:spacing w:after="0" w:line="240" w:lineRule="auto"/>
              <w:jc w:val="right"/>
              <w:rPr>
                <w:rFonts w:eastAsia="Times New Roman"/>
                <w:sz w:val="18"/>
                <w:szCs w:val="18"/>
              </w:rPr>
            </w:pPr>
            <w:r w:rsidRPr="00CD11DE">
              <w:rPr>
                <w:sz w:val="18"/>
                <w:szCs w:val="18"/>
              </w:rPr>
              <w:t>205.5</w:t>
            </w:r>
          </w:p>
        </w:tc>
      </w:tr>
    </w:tbl>
    <w:p w14:paraId="739F44C0" w14:textId="7E308850" w:rsidR="007A7D4E" w:rsidRPr="00CD11DE" w:rsidRDefault="007A7D4E" w:rsidP="00F260C3">
      <w:pPr>
        <w:pStyle w:val="Caption"/>
      </w:pPr>
      <w:bookmarkStart w:id="43" w:name="_Toc492111178"/>
      <w:bookmarkEnd w:id="42"/>
      <w:r w:rsidRPr="00CD11DE">
        <w:lastRenderedPageBreak/>
        <w:t xml:space="preserve">Table </w:t>
      </w:r>
      <w:r w:rsidR="002C39CC" w:rsidRPr="00CD11DE">
        <w:fldChar w:fldCharType="begin"/>
      </w:r>
      <w:r w:rsidR="002C39CC" w:rsidRPr="00CD11DE">
        <w:instrText xml:space="preserve"> SEQ Table \* ARABIC </w:instrText>
      </w:r>
      <w:r w:rsidR="002C39CC" w:rsidRPr="00CD11DE">
        <w:fldChar w:fldCharType="separate"/>
      </w:r>
      <w:r w:rsidR="006C2389" w:rsidRPr="00CD11DE">
        <w:rPr>
          <w:noProof/>
        </w:rPr>
        <w:t>2</w:t>
      </w:r>
      <w:r w:rsidR="002C39CC" w:rsidRPr="00CD11DE">
        <w:rPr>
          <w:noProof/>
        </w:rPr>
        <w:fldChar w:fldCharType="end"/>
      </w:r>
      <w:r w:rsidR="005F30AF" w:rsidRPr="00CD11DE">
        <w:t xml:space="preserve">: </w:t>
      </w:r>
      <w:r w:rsidRPr="00CD11DE">
        <w:t>Capital ratios as a percentage of RWA</w:t>
      </w:r>
      <w:bookmarkEnd w:id="43"/>
      <w:r w:rsidR="00006EFA" w:rsidRPr="00CD11DE">
        <w:t xml:space="preserve"> (%)</w:t>
      </w:r>
    </w:p>
    <w:tbl>
      <w:tblPr>
        <w:tblW w:w="9004" w:type="dxa"/>
        <w:tblLook w:val="04A0" w:firstRow="1" w:lastRow="0" w:firstColumn="1" w:lastColumn="0" w:noHBand="0" w:noVBand="1"/>
      </w:tblPr>
      <w:tblGrid>
        <w:gridCol w:w="6353"/>
        <w:gridCol w:w="1244"/>
        <w:gridCol w:w="1407"/>
      </w:tblGrid>
      <w:tr w:rsidR="001B3C5D" w:rsidRPr="00CD11DE" w14:paraId="7393427D" w14:textId="77777777" w:rsidTr="006F3279">
        <w:trPr>
          <w:trHeight w:val="254"/>
        </w:trPr>
        <w:tc>
          <w:tcPr>
            <w:tcW w:w="6353"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401D62CD" w14:textId="77777777" w:rsidR="001B3C5D" w:rsidRPr="00CD11DE" w:rsidRDefault="001B3C5D" w:rsidP="001B3C5D">
            <w:pPr>
              <w:keepLines w:val="0"/>
              <w:spacing w:after="0" w:line="240" w:lineRule="auto"/>
              <w:jc w:val="left"/>
              <w:rPr>
                <w:rFonts w:eastAsia="Times New Roman"/>
                <w:b/>
                <w:bCs/>
                <w:color w:val="FFFFFF"/>
                <w:sz w:val="18"/>
                <w:szCs w:val="20"/>
              </w:rPr>
            </w:pPr>
            <w:r w:rsidRPr="00CD11DE">
              <w:rPr>
                <w:rFonts w:eastAsia="Times New Roman"/>
                <w:b/>
                <w:bCs/>
                <w:color w:val="FFFFFF"/>
                <w:sz w:val="18"/>
                <w:szCs w:val="20"/>
              </w:rPr>
              <w:t> </w:t>
            </w:r>
          </w:p>
        </w:tc>
        <w:tc>
          <w:tcPr>
            <w:tcW w:w="1244"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42641F6D" w14:textId="4284E23A" w:rsidR="001B3C5D" w:rsidRPr="00CD11DE" w:rsidRDefault="0023087C" w:rsidP="000F3852">
            <w:pPr>
              <w:keepLines w:val="0"/>
              <w:spacing w:after="0" w:line="240" w:lineRule="auto"/>
              <w:jc w:val="right"/>
              <w:rPr>
                <w:color w:val="FFFFFF"/>
                <w:sz w:val="18"/>
                <w:szCs w:val="20"/>
              </w:rPr>
            </w:pPr>
            <w:r>
              <w:rPr>
                <w:color w:val="FFFFFF"/>
                <w:sz w:val="18"/>
                <w:szCs w:val="20"/>
              </w:rPr>
              <w:t>2024</w:t>
            </w:r>
          </w:p>
        </w:tc>
        <w:tc>
          <w:tcPr>
            <w:tcW w:w="1407"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161660FB" w14:textId="7EE794CC" w:rsidR="001B3C5D" w:rsidRPr="00CD11DE" w:rsidRDefault="0023087C" w:rsidP="000F3852">
            <w:pPr>
              <w:keepLines w:val="0"/>
              <w:spacing w:after="0" w:line="240" w:lineRule="auto"/>
              <w:jc w:val="right"/>
              <w:rPr>
                <w:rFonts w:eastAsia="Times New Roman"/>
                <w:bCs/>
                <w:color w:val="FFFFFF"/>
                <w:sz w:val="18"/>
                <w:szCs w:val="20"/>
              </w:rPr>
            </w:pPr>
            <w:r>
              <w:rPr>
                <w:color w:val="FFFFFF"/>
                <w:sz w:val="18"/>
                <w:szCs w:val="20"/>
              </w:rPr>
              <w:t>2023</w:t>
            </w:r>
          </w:p>
        </w:tc>
      </w:tr>
      <w:tr w:rsidR="0023087C" w:rsidRPr="00CD11DE" w14:paraId="1F3E215D" w14:textId="77777777" w:rsidTr="006F3279">
        <w:trPr>
          <w:trHeight w:val="254"/>
        </w:trPr>
        <w:tc>
          <w:tcPr>
            <w:tcW w:w="6353"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736AB649" w14:textId="30103C30" w:rsidR="0023087C" w:rsidRPr="00CD11DE" w:rsidRDefault="0023087C" w:rsidP="0023087C">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Common Equity Tier 1 Ratio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FF88B" w14:textId="78291E65" w:rsidR="0023087C" w:rsidRPr="00CD11DE" w:rsidRDefault="002F22A2" w:rsidP="0023087C">
            <w:pPr>
              <w:keepLines w:val="0"/>
              <w:spacing w:after="0" w:line="240" w:lineRule="auto"/>
              <w:jc w:val="right"/>
              <w:rPr>
                <w:sz w:val="18"/>
                <w:szCs w:val="20"/>
              </w:rPr>
            </w:pPr>
            <w:r>
              <w:rPr>
                <w:sz w:val="18"/>
                <w:szCs w:val="20"/>
              </w:rPr>
              <w:t>16.</w:t>
            </w:r>
            <w:r w:rsidR="00527A63">
              <w:rPr>
                <w:sz w:val="18"/>
                <w:szCs w:val="20"/>
              </w:rPr>
              <w:t>0</w:t>
            </w:r>
            <w:r>
              <w:rPr>
                <w:sz w:val="18"/>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C73C" w14:textId="5C80006D" w:rsidR="0023087C" w:rsidRPr="00CD11DE" w:rsidRDefault="0023087C" w:rsidP="0023087C">
            <w:pPr>
              <w:keepLines w:val="0"/>
              <w:spacing w:after="0" w:line="240" w:lineRule="auto"/>
              <w:jc w:val="right"/>
              <w:rPr>
                <w:rFonts w:eastAsia="Times New Roman"/>
                <w:sz w:val="18"/>
                <w:szCs w:val="20"/>
              </w:rPr>
            </w:pPr>
            <w:r w:rsidRPr="00CD11DE">
              <w:rPr>
                <w:sz w:val="18"/>
                <w:szCs w:val="20"/>
              </w:rPr>
              <w:t>17.4%</w:t>
            </w:r>
          </w:p>
        </w:tc>
      </w:tr>
      <w:tr w:rsidR="0023087C" w:rsidRPr="00CD11DE" w14:paraId="65BF3111" w14:textId="77777777" w:rsidTr="006F3279">
        <w:trPr>
          <w:trHeight w:val="254"/>
        </w:trPr>
        <w:tc>
          <w:tcPr>
            <w:tcW w:w="6353"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51F4EDF4" w14:textId="493D9083" w:rsidR="0023087C" w:rsidRPr="00CD11DE" w:rsidRDefault="0023087C" w:rsidP="0023087C">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Tier 1 Ratio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97CE3" w14:textId="6BB89BC5" w:rsidR="0023087C" w:rsidRPr="00CD11DE" w:rsidRDefault="002F22A2" w:rsidP="0023087C">
            <w:pPr>
              <w:keepLines w:val="0"/>
              <w:spacing w:after="0" w:line="240" w:lineRule="auto"/>
              <w:jc w:val="right"/>
              <w:rPr>
                <w:sz w:val="18"/>
                <w:szCs w:val="20"/>
              </w:rPr>
            </w:pPr>
            <w:r>
              <w:rPr>
                <w:sz w:val="18"/>
                <w:szCs w:val="20"/>
              </w:rPr>
              <w:t>16.</w:t>
            </w:r>
            <w:r w:rsidR="003078F8">
              <w:rPr>
                <w:sz w:val="18"/>
                <w:szCs w:val="20"/>
              </w:rPr>
              <w:t>1</w:t>
            </w:r>
            <w:r>
              <w:rPr>
                <w:sz w:val="18"/>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8E2BC" w14:textId="243CBCF2" w:rsidR="0023087C" w:rsidRPr="00CD11DE" w:rsidRDefault="0023087C" w:rsidP="0023087C">
            <w:pPr>
              <w:keepLines w:val="0"/>
              <w:spacing w:after="0" w:line="240" w:lineRule="auto"/>
              <w:jc w:val="right"/>
              <w:rPr>
                <w:rFonts w:eastAsia="Times New Roman"/>
                <w:sz w:val="18"/>
                <w:szCs w:val="20"/>
              </w:rPr>
            </w:pPr>
            <w:r w:rsidRPr="00CD11DE">
              <w:rPr>
                <w:sz w:val="18"/>
                <w:szCs w:val="20"/>
              </w:rPr>
              <w:t>17.7%</w:t>
            </w:r>
          </w:p>
        </w:tc>
      </w:tr>
      <w:tr w:rsidR="0023087C" w:rsidRPr="00CD11DE" w14:paraId="1F2FDD94" w14:textId="77777777" w:rsidTr="006F3279">
        <w:trPr>
          <w:trHeight w:val="254"/>
        </w:trPr>
        <w:tc>
          <w:tcPr>
            <w:tcW w:w="6353"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2D92BB16" w14:textId="4EE046EC" w:rsidR="0023087C" w:rsidRPr="00CD11DE" w:rsidRDefault="0023087C" w:rsidP="0023087C">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Total Regulatory Capital Ratio</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00DB6" w14:textId="4F336330" w:rsidR="0023087C" w:rsidRPr="00CD11DE" w:rsidRDefault="002F22A2" w:rsidP="0023087C">
            <w:pPr>
              <w:keepLines w:val="0"/>
              <w:spacing w:after="0" w:line="240" w:lineRule="auto"/>
              <w:jc w:val="right"/>
              <w:rPr>
                <w:sz w:val="18"/>
                <w:szCs w:val="20"/>
              </w:rPr>
            </w:pPr>
            <w:r>
              <w:rPr>
                <w:sz w:val="18"/>
                <w:szCs w:val="20"/>
              </w:rPr>
              <w:t>17.</w:t>
            </w:r>
            <w:r w:rsidR="003078F8">
              <w:rPr>
                <w:sz w:val="18"/>
                <w:szCs w:val="20"/>
              </w:rPr>
              <w:t>2</w:t>
            </w:r>
            <w:r>
              <w:rPr>
                <w:sz w:val="18"/>
                <w:szCs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AED55" w14:textId="017114DD" w:rsidR="0023087C" w:rsidRPr="00CD11DE" w:rsidRDefault="0023087C" w:rsidP="0023087C">
            <w:pPr>
              <w:keepLines w:val="0"/>
              <w:spacing w:after="0" w:line="240" w:lineRule="auto"/>
              <w:jc w:val="right"/>
              <w:rPr>
                <w:rFonts w:eastAsia="Times New Roman"/>
                <w:sz w:val="18"/>
                <w:szCs w:val="20"/>
              </w:rPr>
            </w:pPr>
            <w:r w:rsidRPr="00CD11DE">
              <w:rPr>
                <w:sz w:val="18"/>
                <w:szCs w:val="20"/>
              </w:rPr>
              <w:t>19.4%</w:t>
            </w:r>
          </w:p>
        </w:tc>
      </w:tr>
      <w:tr w:rsidR="00454F78" w:rsidRPr="00CD11DE" w14:paraId="38E3FE7F" w14:textId="77777777" w:rsidTr="00D36AD0">
        <w:trPr>
          <w:trHeight w:val="77"/>
        </w:trPr>
        <w:tc>
          <w:tcPr>
            <w:tcW w:w="9004" w:type="dxa"/>
            <w:gridSpan w:val="3"/>
            <w:tcBorders>
              <w:top w:val="single" w:sz="4" w:space="0" w:color="auto"/>
            </w:tcBorders>
            <w:shd w:val="clear" w:color="auto" w:fill="FFFFFF" w:themeFill="background1"/>
            <w:vAlign w:val="center"/>
          </w:tcPr>
          <w:p w14:paraId="0A1A9572" w14:textId="7C0A3E98" w:rsidR="00454F78" w:rsidRPr="00CD11DE" w:rsidRDefault="00454F78" w:rsidP="00454F78">
            <w:pPr>
              <w:keepLines w:val="0"/>
              <w:spacing w:after="0" w:line="240" w:lineRule="auto"/>
              <w:jc w:val="left"/>
              <w:rPr>
                <w:rFonts w:eastAsia="Times New Roman"/>
                <w:i/>
                <w:iCs/>
                <w:sz w:val="20"/>
                <w:szCs w:val="20"/>
              </w:rPr>
            </w:pPr>
          </w:p>
        </w:tc>
      </w:tr>
    </w:tbl>
    <w:p w14:paraId="59A0614C" w14:textId="5E64DD0F" w:rsidR="007A7D4E" w:rsidRPr="00CD11DE" w:rsidRDefault="007A7D4E" w:rsidP="00F260C3">
      <w:pPr>
        <w:pStyle w:val="Caption"/>
      </w:pPr>
      <w:bookmarkStart w:id="44" w:name="_Toc492111179"/>
      <w:r w:rsidRPr="00CD11DE">
        <w:t xml:space="preserve">Table </w:t>
      </w:r>
      <w:r w:rsidR="002C39CC" w:rsidRPr="00CD11DE">
        <w:fldChar w:fldCharType="begin"/>
      </w:r>
      <w:r w:rsidR="002C39CC" w:rsidRPr="00CD11DE">
        <w:instrText xml:space="preserve"> SEQ Table \* ARABIC </w:instrText>
      </w:r>
      <w:r w:rsidR="002C39CC" w:rsidRPr="00CD11DE">
        <w:fldChar w:fldCharType="separate"/>
      </w:r>
      <w:r w:rsidR="006C2389" w:rsidRPr="00CD11DE">
        <w:rPr>
          <w:noProof/>
        </w:rPr>
        <w:t>3</w:t>
      </w:r>
      <w:r w:rsidR="002C39CC" w:rsidRPr="00CD11DE">
        <w:rPr>
          <w:noProof/>
        </w:rPr>
        <w:fldChar w:fldCharType="end"/>
      </w:r>
      <w:r w:rsidR="00681D80" w:rsidRPr="00CD11DE">
        <w:t>:</w:t>
      </w:r>
      <w:r w:rsidRPr="00CD11DE">
        <w:t xml:space="preserve"> CRR Leverage ratio (£m/%)</w:t>
      </w:r>
      <w:bookmarkEnd w:id="44"/>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0"/>
        <w:gridCol w:w="1207"/>
        <w:gridCol w:w="1207"/>
      </w:tblGrid>
      <w:tr w:rsidR="00454F78" w:rsidRPr="00CD11DE" w14:paraId="66DA52A5" w14:textId="77777777" w:rsidTr="006F3279">
        <w:trPr>
          <w:trHeight w:val="237"/>
        </w:trPr>
        <w:tc>
          <w:tcPr>
            <w:tcW w:w="6560" w:type="dxa"/>
            <w:shd w:val="clear" w:color="auto" w:fill="06B1D6" w:themeFill="accent1"/>
            <w:vAlign w:val="center"/>
            <w:hideMark/>
          </w:tcPr>
          <w:p w14:paraId="78C1902D" w14:textId="77777777" w:rsidR="00454F78" w:rsidRPr="00CD11DE" w:rsidRDefault="00454F78" w:rsidP="00454F78">
            <w:pPr>
              <w:keepLines w:val="0"/>
              <w:spacing w:after="0" w:line="240" w:lineRule="auto"/>
              <w:jc w:val="left"/>
              <w:rPr>
                <w:rFonts w:eastAsia="Times New Roman"/>
                <w:b/>
                <w:bCs/>
                <w:color w:val="FFFFFF"/>
                <w:sz w:val="18"/>
                <w:szCs w:val="20"/>
              </w:rPr>
            </w:pPr>
            <w:r w:rsidRPr="00CD11DE">
              <w:rPr>
                <w:rFonts w:eastAsia="Times New Roman"/>
                <w:b/>
                <w:bCs/>
                <w:color w:val="FFFFFF"/>
                <w:sz w:val="18"/>
                <w:szCs w:val="20"/>
              </w:rPr>
              <w:t> </w:t>
            </w:r>
          </w:p>
        </w:tc>
        <w:tc>
          <w:tcPr>
            <w:tcW w:w="1207" w:type="dxa"/>
            <w:shd w:val="clear" w:color="auto" w:fill="06B1D6" w:themeFill="accent1"/>
            <w:vAlign w:val="center"/>
          </w:tcPr>
          <w:p w14:paraId="34C4F9F2" w14:textId="6A3A0F64" w:rsidR="00454F78" w:rsidRPr="00CD11DE" w:rsidRDefault="0023087C" w:rsidP="000F3852">
            <w:pPr>
              <w:keepLines w:val="0"/>
              <w:spacing w:after="0" w:line="240" w:lineRule="auto"/>
              <w:jc w:val="right"/>
              <w:rPr>
                <w:color w:val="FFFFFF"/>
                <w:sz w:val="18"/>
                <w:szCs w:val="20"/>
              </w:rPr>
            </w:pPr>
            <w:r>
              <w:rPr>
                <w:color w:val="FFFFFF"/>
                <w:sz w:val="18"/>
                <w:szCs w:val="20"/>
              </w:rPr>
              <w:t>2024</w:t>
            </w:r>
          </w:p>
        </w:tc>
        <w:tc>
          <w:tcPr>
            <w:tcW w:w="1207" w:type="dxa"/>
            <w:shd w:val="clear" w:color="auto" w:fill="06B1D6" w:themeFill="accent1"/>
            <w:vAlign w:val="center"/>
            <w:hideMark/>
          </w:tcPr>
          <w:p w14:paraId="03B58C77" w14:textId="506D5681" w:rsidR="00454F78" w:rsidRPr="00CD11DE" w:rsidRDefault="0023087C" w:rsidP="000F3852">
            <w:pPr>
              <w:keepLines w:val="0"/>
              <w:spacing w:after="0" w:line="240" w:lineRule="auto"/>
              <w:jc w:val="right"/>
              <w:rPr>
                <w:rFonts w:eastAsia="Times New Roman"/>
                <w:bCs/>
                <w:color w:val="FFFFFF"/>
                <w:sz w:val="18"/>
                <w:szCs w:val="20"/>
              </w:rPr>
            </w:pPr>
            <w:r>
              <w:rPr>
                <w:rFonts w:eastAsia="Times New Roman"/>
                <w:bCs/>
                <w:color w:val="FFFFFF"/>
                <w:sz w:val="18"/>
                <w:szCs w:val="20"/>
              </w:rPr>
              <w:t>2023</w:t>
            </w:r>
          </w:p>
        </w:tc>
      </w:tr>
      <w:tr w:rsidR="008203C4" w:rsidRPr="00CD11DE" w14:paraId="22DA998B" w14:textId="77777777" w:rsidTr="006F3279">
        <w:trPr>
          <w:trHeight w:val="251"/>
        </w:trPr>
        <w:tc>
          <w:tcPr>
            <w:tcW w:w="6560" w:type="dxa"/>
            <w:shd w:val="clear" w:color="auto" w:fill="06B1D6" w:themeFill="accent1"/>
            <w:vAlign w:val="center"/>
            <w:hideMark/>
          </w:tcPr>
          <w:p w14:paraId="60A18497" w14:textId="28E2C0B7" w:rsidR="008203C4" w:rsidRPr="00CD11DE" w:rsidRDefault="008203C4" w:rsidP="008203C4">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Total Leverage Ratio Exposure</w:t>
            </w:r>
          </w:p>
        </w:tc>
        <w:tc>
          <w:tcPr>
            <w:tcW w:w="1207" w:type="dxa"/>
            <w:shd w:val="clear" w:color="auto" w:fill="auto"/>
            <w:noWrap/>
            <w:vAlign w:val="center"/>
          </w:tcPr>
          <w:p w14:paraId="2F689057" w14:textId="476A2B63" w:rsidR="008203C4" w:rsidRPr="00CD11DE" w:rsidRDefault="002F22A2" w:rsidP="008203C4">
            <w:pPr>
              <w:keepLines w:val="0"/>
              <w:spacing w:after="0" w:line="240" w:lineRule="auto"/>
              <w:jc w:val="right"/>
              <w:rPr>
                <w:sz w:val="18"/>
                <w:szCs w:val="20"/>
              </w:rPr>
            </w:pPr>
            <w:r>
              <w:rPr>
                <w:sz w:val="18"/>
                <w:szCs w:val="20"/>
              </w:rPr>
              <w:t>2,7</w:t>
            </w:r>
            <w:r w:rsidR="00E32637">
              <w:rPr>
                <w:sz w:val="18"/>
                <w:szCs w:val="20"/>
              </w:rPr>
              <w:t>5</w:t>
            </w:r>
            <w:r>
              <w:rPr>
                <w:sz w:val="18"/>
                <w:szCs w:val="20"/>
              </w:rPr>
              <w:t>7.3</w:t>
            </w:r>
          </w:p>
        </w:tc>
        <w:tc>
          <w:tcPr>
            <w:tcW w:w="1207" w:type="dxa"/>
            <w:shd w:val="clear" w:color="auto" w:fill="auto"/>
            <w:noWrap/>
            <w:vAlign w:val="center"/>
            <w:hideMark/>
          </w:tcPr>
          <w:p w14:paraId="59761A44" w14:textId="4F0F4ECE" w:rsidR="008203C4" w:rsidRPr="00CD11DE" w:rsidRDefault="008203C4" w:rsidP="008203C4">
            <w:pPr>
              <w:keepLines w:val="0"/>
              <w:spacing w:after="0" w:line="240" w:lineRule="auto"/>
              <w:jc w:val="right"/>
              <w:rPr>
                <w:rFonts w:eastAsia="Times New Roman"/>
                <w:sz w:val="18"/>
                <w:szCs w:val="20"/>
              </w:rPr>
            </w:pPr>
            <w:r w:rsidRPr="00CD11DE">
              <w:rPr>
                <w:sz w:val="18"/>
                <w:szCs w:val="20"/>
              </w:rPr>
              <w:t>2,399.4</w:t>
            </w:r>
          </w:p>
        </w:tc>
      </w:tr>
      <w:tr w:rsidR="008203C4" w:rsidRPr="00CD11DE" w14:paraId="60D57CFA" w14:textId="77777777" w:rsidTr="006F3279">
        <w:trPr>
          <w:trHeight w:val="278"/>
        </w:trPr>
        <w:tc>
          <w:tcPr>
            <w:tcW w:w="6560" w:type="dxa"/>
            <w:shd w:val="clear" w:color="auto" w:fill="06B1D6" w:themeFill="accent1"/>
            <w:vAlign w:val="center"/>
            <w:hideMark/>
          </w:tcPr>
          <w:p w14:paraId="3741201F" w14:textId="566D0DB9" w:rsidR="008203C4" w:rsidRPr="00CD11DE" w:rsidRDefault="008203C4" w:rsidP="008203C4">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Leverage Ratio</w:t>
            </w:r>
          </w:p>
        </w:tc>
        <w:tc>
          <w:tcPr>
            <w:tcW w:w="1207" w:type="dxa"/>
            <w:shd w:val="clear" w:color="auto" w:fill="auto"/>
            <w:noWrap/>
            <w:vAlign w:val="center"/>
          </w:tcPr>
          <w:p w14:paraId="587A08B2" w14:textId="194F0683" w:rsidR="008203C4" w:rsidRPr="00CD11DE" w:rsidRDefault="002F22A2" w:rsidP="008203C4">
            <w:pPr>
              <w:keepLines w:val="0"/>
              <w:spacing w:after="0" w:line="240" w:lineRule="auto"/>
              <w:jc w:val="right"/>
              <w:rPr>
                <w:sz w:val="18"/>
                <w:szCs w:val="20"/>
              </w:rPr>
            </w:pPr>
            <w:r>
              <w:rPr>
                <w:sz w:val="18"/>
                <w:szCs w:val="20"/>
              </w:rPr>
              <w:t>7.7%</w:t>
            </w:r>
          </w:p>
        </w:tc>
        <w:tc>
          <w:tcPr>
            <w:tcW w:w="1207" w:type="dxa"/>
            <w:shd w:val="clear" w:color="auto" w:fill="auto"/>
            <w:noWrap/>
            <w:vAlign w:val="center"/>
            <w:hideMark/>
          </w:tcPr>
          <w:p w14:paraId="5CAC80C9" w14:textId="654886E0" w:rsidR="008203C4" w:rsidRPr="00CD11DE" w:rsidRDefault="008203C4" w:rsidP="008203C4">
            <w:pPr>
              <w:keepLines w:val="0"/>
              <w:spacing w:after="0" w:line="240" w:lineRule="auto"/>
              <w:jc w:val="right"/>
              <w:rPr>
                <w:rFonts w:eastAsia="Times New Roman"/>
                <w:sz w:val="18"/>
                <w:szCs w:val="20"/>
              </w:rPr>
            </w:pPr>
            <w:r w:rsidRPr="00CD11DE">
              <w:rPr>
                <w:sz w:val="18"/>
                <w:szCs w:val="20"/>
              </w:rPr>
              <w:t>7.8%</w:t>
            </w:r>
          </w:p>
        </w:tc>
      </w:tr>
    </w:tbl>
    <w:p w14:paraId="0DF4F2C4" w14:textId="77777777" w:rsidR="00394E68" w:rsidRPr="00CD11DE" w:rsidRDefault="00394E68" w:rsidP="00F22F02"/>
    <w:p w14:paraId="17666E94" w14:textId="4EA29932" w:rsidR="00394E68" w:rsidRPr="00CD11DE" w:rsidRDefault="00394E68"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4</w:t>
      </w:r>
      <w:r w:rsidRPr="00CD11DE">
        <w:fldChar w:fldCharType="end"/>
      </w:r>
      <w:r w:rsidRPr="00CD11DE">
        <w:t>: Liquidity Coverage Ratio (%)</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0"/>
        <w:gridCol w:w="1207"/>
        <w:gridCol w:w="1207"/>
      </w:tblGrid>
      <w:tr w:rsidR="00B6484A" w:rsidRPr="00CD11DE" w14:paraId="5CE4A4D7" w14:textId="77777777" w:rsidTr="006F3279">
        <w:trPr>
          <w:trHeight w:val="237"/>
        </w:trPr>
        <w:tc>
          <w:tcPr>
            <w:tcW w:w="6560" w:type="dxa"/>
            <w:shd w:val="clear" w:color="auto" w:fill="06B1D6" w:themeFill="accent1"/>
            <w:vAlign w:val="center"/>
            <w:hideMark/>
          </w:tcPr>
          <w:p w14:paraId="1B38E5DB" w14:textId="77777777" w:rsidR="00B6484A" w:rsidRPr="00CD11DE" w:rsidRDefault="00B6484A" w:rsidP="00E13D97">
            <w:pPr>
              <w:keepLines w:val="0"/>
              <w:spacing w:after="0" w:line="240" w:lineRule="auto"/>
              <w:jc w:val="left"/>
              <w:rPr>
                <w:rFonts w:eastAsia="Times New Roman"/>
                <w:b/>
                <w:bCs/>
                <w:color w:val="FFFFFF"/>
                <w:sz w:val="18"/>
                <w:szCs w:val="20"/>
              </w:rPr>
            </w:pPr>
            <w:r w:rsidRPr="00CD11DE">
              <w:rPr>
                <w:rFonts w:eastAsia="Times New Roman"/>
                <w:b/>
                <w:bCs/>
                <w:color w:val="FFFFFF"/>
                <w:sz w:val="18"/>
                <w:szCs w:val="20"/>
              </w:rPr>
              <w:t> </w:t>
            </w:r>
          </w:p>
        </w:tc>
        <w:tc>
          <w:tcPr>
            <w:tcW w:w="1207" w:type="dxa"/>
            <w:shd w:val="clear" w:color="auto" w:fill="06B1D6" w:themeFill="accent1"/>
            <w:vAlign w:val="center"/>
          </w:tcPr>
          <w:p w14:paraId="70D6B369" w14:textId="2A6B31CB" w:rsidR="00B6484A" w:rsidRPr="00CD11DE" w:rsidRDefault="0023087C" w:rsidP="000F3852">
            <w:pPr>
              <w:keepLines w:val="0"/>
              <w:spacing w:after="0" w:line="240" w:lineRule="auto"/>
              <w:jc w:val="right"/>
              <w:rPr>
                <w:color w:val="FFFFFF"/>
                <w:sz w:val="18"/>
                <w:szCs w:val="20"/>
              </w:rPr>
            </w:pPr>
            <w:r>
              <w:rPr>
                <w:color w:val="FFFFFF"/>
                <w:sz w:val="18"/>
                <w:szCs w:val="20"/>
              </w:rPr>
              <w:t>2024</w:t>
            </w:r>
          </w:p>
        </w:tc>
        <w:tc>
          <w:tcPr>
            <w:tcW w:w="1207" w:type="dxa"/>
            <w:shd w:val="clear" w:color="auto" w:fill="06B1D6" w:themeFill="accent1"/>
            <w:vAlign w:val="center"/>
            <w:hideMark/>
          </w:tcPr>
          <w:p w14:paraId="77ADAD77" w14:textId="6D61FA3B" w:rsidR="00B6484A" w:rsidRPr="00CD11DE" w:rsidRDefault="0023087C" w:rsidP="000F3852">
            <w:pPr>
              <w:keepLines w:val="0"/>
              <w:spacing w:after="0" w:line="240" w:lineRule="auto"/>
              <w:jc w:val="right"/>
              <w:rPr>
                <w:rFonts w:eastAsia="Times New Roman"/>
                <w:bCs/>
                <w:color w:val="FFFFFF"/>
                <w:sz w:val="18"/>
                <w:szCs w:val="20"/>
              </w:rPr>
            </w:pPr>
            <w:r>
              <w:rPr>
                <w:color w:val="FFFFFF"/>
                <w:sz w:val="18"/>
                <w:szCs w:val="20"/>
              </w:rPr>
              <w:t>2023</w:t>
            </w:r>
          </w:p>
        </w:tc>
      </w:tr>
      <w:tr w:rsidR="00B6484A" w:rsidRPr="00CD11DE" w14:paraId="7F3DE708" w14:textId="77777777" w:rsidTr="006F3279">
        <w:trPr>
          <w:trHeight w:val="278"/>
        </w:trPr>
        <w:tc>
          <w:tcPr>
            <w:tcW w:w="6560" w:type="dxa"/>
            <w:shd w:val="clear" w:color="auto" w:fill="06B1D6" w:themeFill="accent1"/>
            <w:vAlign w:val="center"/>
            <w:hideMark/>
          </w:tcPr>
          <w:p w14:paraId="5F1C591C" w14:textId="7D1C8B2B" w:rsidR="00B6484A" w:rsidRPr="00CD11DE" w:rsidRDefault="00B6484A" w:rsidP="00E13D97">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Liquidity Coverage Ratio</w:t>
            </w:r>
          </w:p>
        </w:tc>
        <w:tc>
          <w:tcPr>
            <w:tcW w:w="1207" w:type="dxa"/>
            <w:shd w:val="clear" w:color="auto" w:fill="auto"/>
            <w:noWrap/>
            <w:vAlign w:val="center"/>
          </w:tcPr>
          <w:p w14:paraId="5D937038" w14:textId="62C9A031" w:rsidR="00B6484A" w:rsidRPr="00CD11DE" w:rsidRDefault="001030FC" w:rsidP="000F3852">
            <w:pPr>
              <w:keepLines w:val="0"/>
              <w:spacing w:after="0" w:line="240" w:lineRule="auto"/>
              <w:jc w:val="right"/>
              <w:rPr>
                <w:sz w:val="18"/>
                <w:szCs w:val="20"/>
              </w:rPr>
            </w:pPr>
            <w:r>
              <w:rPr>
                <w:sz w:val="18"/>
                <w:szCs w:val="20"/>
              </w:rPr>
              <w:t>746%</w:t>
            </w:r>
          </w:p>
        </w:tc>
        <w:tc>
          <w:tcPr>
            <w:tcW w:w="1207" w:type="dxa"/>
            <w:shd w:val="clear" w:color="auto" w:fill="auto"/>
            <w:noWrap/>
            <w:vAlign w:val="center"/>
            <w:hideMark/>
          </w:tcPr>
          <w:p w14:paraId="7C450781" w14:textId="7EB79E10" w:rsidR="00B6484A" w:rsidRPr="00CD11DE" w:rsidRDefault="008203C4" w:rsidP="000F3852">
            <w:pPr>
              <w:keepLines w:val="0"/>
              <w:spacing w:after="0" w:line="240" w:lineRule="auto"/>
              <w:jc w:val="right"/>
              <w:rPr>
                <w:rFonts w:eastAsia="Times New Roman"/>
                <w:sz w:val="18"/>
                <w:szCs w:val="20"/>
              </w:rPr>
            </w:pPr>
            <w:r w:rsidRPr="00CD11DE">
              <w:rPr>
                <w:sz w:val="18"/>
                <w:szCs w:val="20"/>
              </w:rPr>
              <w:t>786%</w:t>
            </w:r>
          </w:p>
        </w:tc>
      </w:tr>
    </w:tbl>
    <w:p w14:paraId="2CFB13A7" w14:textId="77777777" w:rsidR="00D90570" w:rsidRPr="00CD11DE" w:rsidRDefault="00D90570" w:rsidP="009529E7">
      <w:pPr>
        <w:spacing w:after="0"/>
        <w:rPr>
          <w:b/>
          <w:bCs/>
          <w:iCs/>
          <w:color w:val="auto"/>
          <w:sz w:val="20"/>
          <w:szCs w:val="20"/>
        </w:rPr>
      </w:pPr>
    </w:p>
    <w:p w14:paraId="734E1508" w14:textId="18A44357" w:rsidR="00394E68" w:rsidRPr="00CD11DE" w:rsidRDefault="00394E68"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5</w:t>
      </w:r>
      <w:r w:rsidRPr="00CD11DE">
        <w:fldChar w:fldCharType="end"/>
      </w:r>
      <w:r w:rsidRPr="00CD11DE">
        <w:t>: Net Stable Funding Ratio (%)</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0"/>
        <w:gridCol w:w="1207"/>
        <w:gridCol w:w="1207"/>
      </w:tblGrid>
      <w:tr w:rsidR="009529E7" w:rsidRPr="00CD11DE" w14:paraId="29E87343" w14:textId="77777777" w:rsidTr="006F3279">
        <w:trPr>
          <w:trHeight w:val="237"/>
        </w:trPr>
        <w:tc>
          <w:tcPr>
            <w:tcW w:w="6560" w:type="dxa"/>
            <w:shd w:val="clear" w:color="auto" w:fill="06B1D6" w:themeFill="accent1"/>
            <w:vAlign w:val="center"/>
            <w:hideMark/>
          </w:tcPr>
          <w:p w14:paraId="13270F59" w14:textId="77777777" w:rsidR="009529E7" w:rsidRPr="00CD11DE" w:rsidRDefault="009529E7" w:rsidP="005B4BB8">
            <w:pPr>
              <w:keepLines w:val="0"/>
              <w:spacing w:after="0" w:line="240" w:lineRule="auto"/>
              <w:jc w:val="left"/>
              <w:rPr>
                <w:rFonts w:eastAsia="Times New Roman"/>
                <w:b/>
                <w:bCs/>
                <w:color w:val="FFFFFF"/>
                <w:sz w:val="18"/>
                <w:szCs w:val="20"/>
              </w:rPr>
            </w:pPr>
            <w:r w:rsidRPr="00CD11DE">
              <w:rPr>
                <w:rFonts w:eastAsia="Times New Roman"/>
                <w:b/>
                <w:bCs/>
                <w:color w:val="FFFFFF"/>
                <w:sz w:val="18"/>
                <w:szCs w:val="20"/>
              </w:rPr>
              <w:t> </w:t>
            </w:r>
          </w:p>
        </w:tc>
        <w:tc>
          <w:tcPr>
            <w:tcW w:w="1207" w:type="dxa"/>
            <w:shd w:val="clear" w:color="auto" w:fill="06B1D6" w:themeFill="accent1"/>
            <w:vAlign w:val="center"/>
            <w:hideMark/>
          </w:tcPr>
          <w:p w14:paraId="5C8497A1" w14:textId="6537B8AE" w:rsidR="009529E7" w:rsidRPr="00CD11DE" w:rsidRDefault="0023087C" w:rsidP="000F3852">
            <w:pPr>
              <w:keepLines w:val="0"/>
              <w:spacing w:after="0" w:line="240" w:lineRule="auto"/>
              <w:jc w:val="right"/>
              <w:rPr>
                <w:color w:val="FFFFFF"/>
                <w:sz w:val="18"/>
                <w:szCs w:val="20"/>
              </w:rPr>
            </w:pPr>
            <w:r>
              <w:rPr>
                <w:color w:val="FFFFFF"/>
                <w:sz w:val="18"/>
                <w:szCs w:val="20"/>
              </w:rPr>
              <w:t>2024</w:t>
            </w:r>
          </w:p>
        </w:tc>
        <w:tc>
          <w:tcPr>
            <w:tcW w:w="1207" w:type="dxa"/>
            <w:shd w:val="clear" w:color="auto" w:fill="06B1D6" w:themeFill="accent1"/>
            <w:vAlign w:val="center"/>
            <w:hideMark/>
          </w:tcPr>
          <w:p w14:paraId="65B9F492" w14:textId="25B4E891" w:rsidR="009529E7" w:rsidRPr="00CD11DE" w:rsidRDefault="0023087C" w:rsidP="000F3852">
            <w:pPr>
              <w:keepLines w:val="0"/>
              <w:spacing w:after="0" w:line="240" w:lineRule="auto"/>
              <w:jc w:val="right"/>
              <w:rPr>
                <w:rFonts w:eastAsia="Times New Roman"/>
                <w:bCs/>
                <w:color w:val="FFFFFF"/>
                <w:sz w:val="18"/>
                <w:szCs w:val="20"/>
              </w:rPr>
            </w:pPr>
            <w:r>
              <w:rPr>
                <w:color w:val="FFFFFF"/>
                <w:sz w:val="18"/>
                <w:szCs w:val="20"/>
              </w:rPr>
              <w:t>2023</w:t>
            </w:r>
          </w:p>
        </w:tc>
      </w:tr>
      <w:tr w:rsidR="009529E7" w:rsidRPr="00CD11DE" w14:paraId="44BB1FC2" w14:textId="77777777" w:rsidTr="006F3279">
        <w:trPr>
          <w:trHeight w:val="278"/>
        </w:trPr>
        <w:tc>
          <w:tcPr>
            <w:tcW w:w="6560" w:type="dxa"/>
            <w:shd w:val="clear" w:color="auto" w:fill="06B1D6" w:themeFill="accent1"/>
            <w:vAlign w:val="center"/>
            <w:hideMark/>
          </w:tcPr>
          <w:p w14:paraId="559A8C3C" w14:textId="22F361B3" w:rsidR="009529E7" w:rsidRPr="00CD11DE" w:rsidRDefault="00D90570" w:rsidP="005B4BB8">
            <w:pPr>
              <w:keepLines w:val="0"/>
              <w:spacing w:after="0" w:line="240" w:lineRule="auto"/>
              <w:jc w:val="left"/>
              <w:rPr>
                <w:rFonts w:eastAsia="Times New Roman"/>
                <w:bCs/>
                <w:color w:val="FFFFFF"/>
                <w:sz w:val="18"/>
                <w:szCs w:val="20"/>
              </w:rPr>
            </w:pPr>
            <w:r w:rsidRPr="00CD11DE">
              <w:rPr>
                <w:rFonts w:eastAsia="Times New Roman"/>
                <w:bCs/>
                <w:color w:val="FFFFFF"/>
                <w:sz w:val="18"/>
                <w:szCs w:val="20"/>
              </w:rPr>
              <w:t>Net Stable Funding Ratio</w:t>
            </w:r>
          </w:p>
        </w:tc>
        <w:tc>
          <w:tcPr>
            <w:tcW w:w="1207" w:type="dxa"/>
            <w:shd w:val="clear" w:color="auto" w:fill="auto"/>
            <w:noWrap/>
            <w:vAlign w:val="center"/>
            <w:hideMark/>
          </w:tcPr>
          <w:p w14:paraId="2502AACC" w14:textId="6DAABCF6" w:rsidR="009529E7" w:rsidRPr="00CD11DE" w:rsidRDefault="001030FC" w:rsidP="000F3852">
            <w:pPr>
              <w:keepLines w:val="0"/>
              <w:spacing w:after="0" w:line="240" w:lineRule="auto"/>
              <w:jc w:val="right"/>
              <w:rPr>
                <w:sz w:val="18"/>
                <w:szCs w:val="20"/>
              </w:rPr>
            </w:pPr>
            <w:r>
              <w:rPr>
                <w:sz w:val="18"/>
                <w:szCs w:val="20"/>
              </w:rPr>
              <w:t>161%</w:t>
            </w:r>
            <w:r w:rsidR="009529E7" w:rsidRPr="00CD11DE">
              <w:rPr>
                <w:sz w:val="18"/>
                <w:szCs w:val="20"/>
              </w:rPr>
              <w:t xml:space="preserve"> </w:t>
            </w:r>
            <w:r w:rsidR="009529E7" w:rsidRPr="00CD11DE">
              <w:rPr>
                <w:rFonts w:eastAsia="Times New Roman"/>
                <w:sz w:val="18"/>
                <w:szCs w:val="20"/>
              </w:rPr>
              <w:t xml:space="preserve">      </w:t>
            </w:r>
          </w:p>
        </w:tc>
        <w:tc>
          <w:tcPr>
            <w:tcW w:w="1207" w:type="dxa"/>
            <w:shd w:val="clear" w:color="auto" w:fill="auto"/>
            <w:noWrap/>
            <w:vAlign w:val="center"/>
            <w:hideMark/>
          </w:tcPr>
          <w:p w14:paraId="725F1525" w14:textId="4F99CFC4" w:rsidR="009529E7" w:rsidRPr="00CD11DE" w:rsidRDefault="008203C4" w:rsidP="000F3852">
            <w:pPr>
              <w:keepLines w:val="0"/>
              <w:spacing w:after="0" w:line="240" w:lineRule="auto"/>
              <w:jc w:val="right"/>
              <w:rPr>
                <w:rFonts w:eastAsia="Times New Roman"/>
                <w:sz w:val="18"/>
                <w:szCs w:val="20"/>
              </w:rPr>
            </w:pPr>
            <w:r w:rsidRPr="00CD11DE">
              <w:rPr>
                <w:sz w:val="18"/>
                <w:szCs w:val="20"/>
              </w:rPr>
              <w:t>160%</w:t>
            </w:r>
            <w:r w:rsidR="009529E7" w:rsidRPr="00CD11DE">
              <w:rPr>
                <w:rFonts w:eastAsia="Times New Roman"/>
                <w:sz w:val="18"/>
                <w:szCs w:val="20"/>
              </w:rPr>
              <w:t xml:space="preserve"> </w:t>
            </w:r>
          </w:p>
        </w:tc>
      </w:tr>
    </w:tbl>
    <w:p w14:paraId="05905A9B" w14:textId="77777777" w:rsidR="00D90570" w:rsidRPr="00CD11DE" w:rsidRDefault="00D90570" w:rsidP="00E969B9">
      <w:pPr>
        <w:spacing w:after="0"/>
        <w:rPr>
          <w:b/>
          <w:bCs/>
          <w:iCs/>
          <w:color w:val="auto"/>
          <w:sz w:val="20"/>
          <w:szCs w:val="20"/>
        </w:rPr>
      </w:pPr>
    </w:p>
    <w:p w14:paraId="07546E64" w14:textId="443FFCEC" w:rsidR="00394E68" w:rsidRPr="00CD11DE" w:rsidRDefault="00394E68"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6</w:t>
      </w:r>
      <w:r w:rsidRPr="00CD11DE">
        <w:fldChar w:fldCharType="end"/>
      </w:r>
      <w:r w:rsidRPr="00CD11DE">
        <w:t>: Profit after tax (£m)</w:t>
      </w:r>
    </w:p>
    <w:tbl>
      <w:tblPr>
        <w:tblW w:w="9025" w:type="dxa"/>
        <w:tblLook w:val="04A0" w:firstRow="1" w:lastRow="0" w:firstColumn="1" w:lastColumn="0" w:noHBand="0" w:noVBand="1"/>
      </w:tblPr>
      <w:tblGrid>
        <w:gridCol w:w="6531"/>
        <w:gridCol w:w="1247"/>
        <w:gridCol w:w="1247"/>
      </w:tblGrid>
      <w:tr w:rsidR="00C5530C" w:rsidRPr="00CD11DE" w14:paraId="0D260586" w14:textId="77777777" w:rsidTr="006F3279">
        <w:trPr>
          <w:trHeight w:val="251"/>
        </w:trPr>
        <w:tc>
          <w:tcPr>
            <w:tcW w:w="6531"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58F27CB2" w14:textId="65D55B8A" w:rsidR="00C5530C" w:rsidRPr="00CD11DE" w:rsidRDefault="00C5530C" w:rsidP="003633D8">
            <w:pPr>
              <w:keepLines w:val="0"/>
              <w:spacing w:after="0" w:line="240" w:lineRule="auto"/>
              <w:jc w:val="left"/>
              <w:rPr>
                <w:rFonts w:eastAsia="Times New Roman"/>
                <w:color w:val="FFFFFF"/>
                <w:sz w:val="18"/>
                <w:szCs w:val="20"/>
              </w:rPr>
            </w:pPr>
          </w:p>
        </w:tc>
        <w:tc>
          <w:tcPr>
            <w:tcW w:w="1247"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69A693A0" w14:textId="5AC47F99" w:rsidR="00C5530C" w:rsidRPr="00CD11DE" w:rsidRDefault="0023087C" w:rsidP="000F3852">
            <w:pPr>
              <w:keepLines w:val="0"/>
              <w:spacing w:after="0" w:line="240" w:lineRule="auto"/>
              <w:jc w:val="right"/>
              <w:rPr>
                <w:bCs/>
                <w:color w:val="FFFFFF"/>
                <w:sz w:val="18"/>
                <w:szCs w:val="20"/>
              </w:rPr>
            </w:pPr>
            <w:r>
              <w:rPr>
                <w:bCs/>
                <w:color w:val="FFFFFF"/>
                <w:sz w:val="18"/>
                <w:szCs w:val="20"/>
              </w:rPr>
              <w:t>2024</w:t>
            </w:r>
          </w:p>
        </w:tc>
        <w:tc>
          <w:tcPr>
            <w:tcW w:w="1247"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367A4E99" w14:textId="3F5FF1EA" w:rsidR="00C5530C" w:rsidRPr="00CD11DE" w:rsidRDefault="0023087C" w:rsidP="000F3852">
            <w:pPr>
              <w:keepLines w:val="0"/>
              <w:spacing w:after="0" w:line="240" w:lineRule="auto"/>
              <w:jc w:val="right"/>
              <w:rPr>
                <w:rFonts w:eastAsia="Times New Roman"/>
                <w:bCs/>
                <w:color w:val="FFFFFF"/>
                <w:sz w:val="18"/>
                <w:szCs w:val="20"/>
              </w:rPr>
            </w:pPr>
            <w:r>
              <w:rPr>
                <w:bCs/>
                <w:color w:val="FFFFFF"/>
                <w:sz w:val="18"/>
                <w:szCs w:val="20"/>
              </w:rPr>
              <w:t>2023</w:t>
            </w:r>
          </w:p>
        </w:tc>
      </w:tr>
      <w:tr w:rsidR="008203C4" w:rsidRPr="00CD11DE" w14:paraId="0802B30B" w14:textId="77777777" w:rsidTr="006F3279">
        <w:trPr>
          <w:trHeight w:val="251"/>
        </w:trPr>
        <w:tc>
          <w:tcPr>
            <w:tcW w:w="6531" w:type="dxa"/>
            <w:tcBorders>
              <w:top w:val="single" w:sz="4" w:space="0" w:color="auto"/>
              <w:left w:val="single" w:sz="4" w:space="0" w:color="auto"/>
              <w:bottom w:val="single" w:sz="4" w:space="0" w:color="auto"/>
              <w:right w:val="single" w:sz="4" w:space="0" w:color="auto"/>
            </w:tcBorders>
            <w:shd w:val="clear" w:color="auto" w:fill="06B1D6" w:themeFill="accent1"/>
            <w:vAlign w:val="center"/>
          </w:tcPr>
          <w:p w14:paraId="0296E19E" w14:textId="316A23F5" w:rsidR="008203C4" w:rsidRPr="00CD11DE" w:rsidRDefault="008203C4" w:rsidP="008203C4">
            <w:pPr>
              <w:keepLines w:val="0"/>
              <w:spacing w:after="0" w:line="240" w:lineRule="auto"/>
              <w:jc w:val="left"/>
              <w:rPr>
                <w:rFonts w:eastAsia="Times New Roman"/>
                <w:color w:val="FFFFFF"/>
                <w:sz w:val="18"/>
                <w:szCs w:val="20"/>
              </w:rPr>
            </w:pPr>
            <w:r w:rsidRPr="00CD11DE">
              <w:rPr>
                <w:rFonts w:eastAsia="Times New Roman"/>
                <w:color w:val="FFFFFF"/>
                <w:sz w:val="18"/>
                <w:szCs w:val="20"/>
              </w:rPr>
              <w:t>Profit after tax</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15A1421" w14:textId="5ED075F9" w:rsidR="008203C4" w:rsidRPr="00CD11DE" w:rsidRDefault="001030FC" w:rsidP="008203C4">
            <w:pPr>
              <w:keepLines w:val="0"/>
              <w:spacing w:after="0" w:line="240" w:lineRule="auto"/>
              <w:jc w:val="right"/>
              <w:rPr>
                <w:bCs/>
                <w:color w:val="auto"/>
                <w:sz w:val="18"/>
                <w:szCs w:val="20"/>
              </w:rPr>
            </w:pPr>
            <w:r>
              <w:rPr>
                <w:bCs/>
                <w:color w:val="auto"/>
                <w:sz w:val="18"/>
                <w:szCs w:val="20"/>
              </w:rPr>
              <w:t>17.7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C33CDD" w14:textId="7E4AB4BC" w:rsidR="008203C4" w:rsidRPr="00CD11DE" w:rsidRDefault="008203C4" w:rsidP="008203C4">
            <w:pPr>
              <w:keepLines w:val="0"/>
              <w:spacing w:after="0" w:line="240" w:lineRule="auto"/>
              <w:jc w:val="right"/>
              <w:rPr>
                <w:rFonts w:eastAsia="Times New Roman"/>
                <w:bCs/>
                <w:color w:val="auto"/>
                <w:sz w:val="18"/>
                <w:szCs w:val="20"/>
              </w:rPr>
            </w:pPr>
            <w:r w:rsidRPr="00CD11DE">
              <w:rPr>
                <w:bCs/>
                <w:color w:val="auto"/>
                <w:sz w:val="18"/>
                <w:szCs w:val="20"/>
              </w:rPr>
              <w:t>23.0</w:t>
            </w:r>
          </w:p>
        </w:tc>
      </w:tr>
    </w:tbl>
    <w:p w14:paraId="284AC39B" w14:textId="5718DA3C" w:rsidR="00304E1D" w:rsidRPr="00CD11DE" w:rsidRDefault="00304E1D" w:rsidP="00304E1D"/>
    <w:p w14:paraId="573EC888" w14:textId="77777777" w:rsidR="00304E1D" w:rsidRPr="00CD11DE" w:rsidRDefault="00304E1D" w:rsidP="00304E1D"/>
    <w:p w14:paraId="761D2238" w14:textId="77777777" w:rsidR="003B582A" w:rsidRPr="00C62D72" w:rsidRDefault="003B582A" w:rsidP="00285B0B">
      <w:pPr>
        <w:pStyle w:val="Heading1"/>
        <w:rPr>
          <w:rFonts w:ascii="Arial" w:hAnsi="Arial"/>
          <w:lang w:val="en-GB"/>
        </w:rPr>
      </w:pPr>
      <w:bookmarkStart w:id="45" w:name="_Toc492021088"/>
      <w:bookmarkStart w:id="46" w:name="_Toc201575401"/>
      <w:r w:rsidRPr="00C62D72">
        <w:rPr>
          <w:rFonts w:ascii="Arial" w:hAnsi="Arial"/>
          <w:lang w:val="en-GB"/>
        </w:rPr>
        <w:t>I</w:t>
      </w:r>
      <w:bookmarkEnd w:id="45"/>
      <w:r w:rsidR="00903C6A" w:rsidRPr="00C62D72">
        <w:rPr>
          <w:rFonts w:ascii="Arial" w:hAnsi="Arial"/>
          <w:lang w:val="en-GB"/>
        </w:rPr>
        <w:t>ntroduction</w:t>
      </w:r>
      <w:bookmarkEnd w:id="46"/>
    </w:p>
    <w:p w14:paraId="56B6C5AA" w14:textId="77777777" w:rsidR="00F8266F" w:rsidRPr="00C62D72" w:rsidRDefault="009F0AFC" w:rsidP="0023179E">
      <w:pPr>
        <w:pStyle w:val="Heading2"/>
        <w:rPr>
          <w:lang w:val="en-GB"/>
        </w:rPr>
      </w:pPr>
      <w:bookmarkStart w:id="47" w:name="_Toc492021089"/>
      <w:r w:rsidRPr="00C62D72">
        <w:rPr>
          <w:lang w:val="en-GB"/>
        </w:rPr>
        <w:tab/>
      </w:r>
      <w:bookmarkStart w:id="48" w:name="_Toc201575402"/>
      <w:r w:rsidRPr="00C62D72">
        <w:rPr>
          <w:lang w:val="en-GB"/>
        </w:rPr>
        <w:t>Background</w:t>
      </w:r>
      <w:bookmarkEnd w:id="47"/>
      <w:bookmarkEnd w:id="48"/>
      <w:r w:rsidRPr="00C62D72">
        <w:rPr>
          <w:lang w:val="en-GB"/>
        </w:rPr>
        <w:t xml:space="preserve"> </w:t>
      </w:r>
    </w:p>
    <w:p w14:paraId="3CC9E665" w14:textId="297ECE94" w:rsidR="00F8266F" w:rsidRPr="00CD11DE" w:rsidRDefault="009F0AFC" w:rsidP="00C63862">
      <w:pPr>
        <w:ind w:left="-5"/>
        <w:rPr>
          <w:sz w:val="20"/>
          <w:szCs w:val="20"/>
        </w:rPr>
      </w:pPr>
      <w:r w:rsidRPr="00CD11DE">
        <w:rPr>
          <w:sz w:val="20"/>
          <w:szCs w:val="20"/>
        </w:rPr>
        <w:t xml:space="preserve">The Basel III regulatory framework </w:t>
      </w:r>
      <w:r w:rsidR="0006573E" w:rsidRPr="00CD11DE">
        <w:rPr>
          <w:sz w:val="20"/>
          <w:szCs w:val="20"/>
        </w:rPr>
        <w:t xml:space="preserve">is </w:t>
      </w:r>
      <w:r w:rsidRPr="00CD11DE">
        <w:rPr>
          <w:sz w:val="20"/>
          <w:szCs w:val="20"/>
        </w:rPr>
        <w:t>implemented through</w:t>
      </w:r>
      <w:r w:rsidR="00140021" w:rsidRPr="00CD11DE">
        <w:rPr>
          <w:sz w:val="20"/>
          <w:szCs w:val="20"/>
        </w:rPr>
        <w:t xml:space="preserve"> the Capital Requirements Regulation (CRR) and Capital Requirements Directive (CRD), together referred to as </w:t>
      </w:r>
      <w:r w:rsidRPr="00CD11DE">
        <w:rPr>
          <w:sz w:val="20"/>
          <w:szCs w:val="20"/>
        </w:rPr>
        <w:t>CRD IV</w:t>
      </w:r>
      <w:r w:rsidR="00140021" w:rsidRPr="00CD11DE">
        <w:rPr>
          <w:sz w:val="20"/>
          <w:szCs w:val="20"/>
        </w:rPr>
        <w:t xml:space="preserve">. </w:t>
      </w:r>
    </w:p>
    <w:p w14:paraId="28989027" w14:textId="77777777" w:rsidR="00F8266F" w:rsidRPr="00CD11DE" w:rsidRDefault="009F0AFC" w:rsidP="00756B64">
      <w:pPr>
        <w:rPr>
          <w:sz w:val="20"/>
          <w:szCs w:val="20"/>
        </w:rPr>
      </w:pPr>
      <w:r w:rsidRPr="00CD11DE">
        <w:rPr>
          <w:sz w:val="20"/>
          <w:szCs w:val="20"/>
        </w:rPr>
        <w:t>The CRD</w:t>
      </w:r>
      <w:r w:rsidR="003742DA" w:rsidRPr="00CD11DE">
        <w:rPr>
          <w:sz w:val="20"/>
          <w:szCs w:val="20"/>
        </w:rPr>
        <w:t xml:space="preserve"> IV</w:t>
      </w:r>
      <w:r w:rsidRPr="00CD11DE">
        <w:rPr>
          <w:sz w:val="20"/>
          <w:szCs w:val="20"/>
        </w:rPr>
        <w:t xml:space="preserve"> framework includes three ‘</w:t>
      </w:r>
      <w:proofErr w:type="gramStart"/>
      <w:r w:rsidRPr="00CD11DE">
        <w:rPr>
          <w:sz w:val="20"/>
          <w:szCs w:val="20"/>
        </w:rPr>
        <w:t>pillars’</w:t>
      </w:r>
      <w:proofErr w:type="gramEnd"/>
      <w:r w:rsidRPr="00CD11DE">
        <w:rPr>
          <w:sz w:val="20"/>
          <w:szCs w:val="20"/>
        </w:rPr>
        <w:t xml:space="preserve">: </w:t>
      </w:r>
    </w:p>
    <w:tbl>
      <w:tblPr>
        <w:tblW w:w="9089" w:type="dxa"/>
        <w:tblLook w:val="04A0" w:firstRow="1" w:lastRow="0" w:firstColumn="1" w:lastColumn="0" w:noHBand="0" w:noVBand="1"/>
      </w:tblPr>
      <w:tblGrid>
        <w:gridCol w:w="1418"/>
        <w:gridCol w:w="7671"/>
      </w:tblGrid>
      <w:tr w:rsidR="00F8266F" w:rsidRPr="00CD11DE" w14:paraId="52D5AF77" w14:textId="77777777">
        <w:trPr>
          <w:trHeight w:val="249"/>
        </w:trPr>
        <w:tc>
          <w:tcPr>
            <w:tcW w:w="1418" w:type="dxa"/>
            <w:tcBorders>
              <w:top w:val="nil"/>
              <w:left w:val="nil"/>
              <w:bottom w:val="nil"/>
              <w:right w:val="nil"/>
            </w:tcBorders>
          </w:tcPr>
          <w:p w14:paraId="7FDEEB60" w14:textId="77777777" w:rsidR="00F8266F" w:rsidRPr="00CD11DE" w:rsidRDefault="009F0AFC" w:rsidP="00756B64">
            <w:pPr>
              <w:rPr>
                <w:sz w:val="20"/>
                <w:szCs w:val="20"/>
              </w:rPr>
            </w:pPr>
            <w:r w:rsidRPr="00CD11DE">
              <w:rPr>
                <w:sz w:val="20"/>
                <w:szCs w:val="20"/>
              </w:rPr>
              <w:t xml:space="preserve">Pillar 1 </w:t>
            </w:r>
          </w:p>
        </w:tc>
        <w:tc>
          <w:tcPr>
            <w:tcW w:w="7671" w:type="dxa"/>
            <w:tcBorders>
              <w:top w:val="nil"/>
              <w:left w:val="nil"/>
              <w:bottom w:val="nil"/>
              <w:right w:val="nil"/>
            </w:tcBorders>
          </w:tcPr>
          <w:p w14:paraId="25F8BF75" w14:textId="77777777" w:rsidR="00F8266F" w:rsidRPr="00CD11DE" w:rsidRDefault="009F0AFC" w:rsidP="00756B64">
            <w:pPr>
              <w:rPr>
                <w:sz w:val="20"/>
                <w:szCs w:val="20"/>
              </w:rPr>
            </w:pPr>
            <w:r w:rsidRPr="00CD11DE">
              <w:rPr>
                <w:sz w:val="20"/>
                <w:szCs w:val="20"/>
              </w:rPr>
              <w:t>Minimum capital requirements relating to credit, market and operational risks</w:t>
            </w:r>
            <w:r w:rsidR="00815292" w:rsidRPr="00CD11DE">
              <w:rPr>
                <w:sz w:val="20"/>
                <w:szCs w:val="20"/>
              </w:rPr>
              <w:t>;</w:t>
            </w:r>
            <w:r w:rsidRPr="00CD11DE">
              <w:rPr>
                <w:sz w:val="20"/>
                <w:szCs w:val="20"/>
              </w:rPr>
              <w:t xml:space="preserve"> </w:t>
            </w:r>
          </w:p>
        </w:tc>
      </w:tr>
      <w:tr w:rsidR="00F8266F" w:rsidRPr="00CD11DE" w14:paraId="7B035B1C" w14:textId="77777777">
        <w:trPr>
          <w:trHeight w:val="758"/>
        </w:trPr>
        <w:tc>
          <w:tcPr>
            <w:tcW w:w="1418" w:type="dxa"/>
            <w:tcBorders>
              <w:top w:val="nil"/>
              <w:left w:val="nil"/>
              <w:bottom w:val="nil"/>
              <w:right w:val="nil"/>
            </w:tcBorders>
          </w:tcPr>
          <w:p w14:paraId="6AB93867" w14:textId="77777777" w:rsidR="00F8266F" w:rsidRPr="00CD11DE" w:rsidRDefault="009F0AFC" w:rsidP="00756B64">
            <w:pPr>
              <w:rPr>
                <w:sz w:val="20"/>
                <w:szCs w:val="20"/>
              </w:rPr>
            </w:pPr>
            <w:r w:rsidRPr="00CD11DE">
              <w:rPr>
                <w:sz w:val="20"/>
                <w:szCs w:val="20"/>
              </w:rPr>
              <w:t xml:space="preserve">Pillar 2 </w:t>
            </w:r>
          </w:p>
        </w:tc>
        <w:tc>
          <w:tcPr>
            <w:tcW w:w="7671" w:type="dxa"/>
            <w:tcBorders>
              <w:top w:val="nil"/>
              <w:left w:val="nil"/>
              <w:bottom w:val="nil"/>
              <w:right w:val="nil"/>
            </w:tcBorders>
          </w:tcPr>
          <w:p w14:paraId="5EB5AEE4" w14:textId="77777777" w:rsidR="00F8266F" w:rsidRPr="00CD11DE" w:rsidRDefault="009F0AFC" w:rsidP="00756B64">
            <w:pPr>
              <w:rPr>
                <w:sz w:val="20"/>
                <w:szCs w:val="20"/>
              </w:rPr>
            </w:pPr>
            <w:r w:rsidRPr="00CD11DE">
              <w:rPr>
                <w:sz w:val="20"/>
                <w:szCs w:val="20"/>
              </w:rPr>
              <w:t>Firm’s own internal assessment of additional capital requirements relating to specific risks not covered by the Pillar 1 minimum capital requirement. This additional capital requirement is subject to review by the PRA</w:t>
            </w:r>
            <w:r w:rsidR="00815292" w:rsidRPr="00CD11DE">
              <w:rPr>
                <w:sz w:val="20"/>
                <w:szCs w:val="20"/>
              </w:rPr>
              <w:t xml:space="preserve">; </w:t>
            </w:r>
          </w:p>
        </w:tc>
      </w:tr>
      <w:tr w:rsidR="00F8266F" w:rsidRPr="00CD11DE" w14:paraId="361A809C" w14:textId="77777777">
        <w:trPr>
          <w:trHeight w:val="503"/>
        </w:trPr>
        <w:tc>
          <w:tcPr>
            <w:tcW w:w="1418" w:type="dxa"/>
            <w:tcBorders>
              <w:top w:val="nil"/>
              <w:left w:val="nil"/>
              <w:bottom w:val="nil"/>
              <w:right w:val="nil"/>
            </w:tcBorders>
          </w:tcPr>
          <w:p w14:paraId="4ACB2BCB" w14:textId="77777777" w:rsidR="00F8266F" w:rsidRPr="00CD11DE" w:rsidRDefault="009F0AFC" w:rsidP="00756B64">
            <w:pPr>
              <w:rPr>
                <w:sz w:val="20"/>
                <w:szCs w:val="20"/>
              </w:rPr>
            </w:pPr>
            <w:r w:rsidRPr="00CD11DE">
              <w:rPr>
                <w:sz w:val="20"/>
                <w:szCs w:val="20"/>
              </w:rPr>
              <w:t xml:space="preserve">Pillar 3 </w:t>
            </w:r>
          </w:p>
        </w:tc>
        <w:tc>
          <w:tcPr>
            <w:tcW w:w="7671" w:type="dxa"/>
            <w:tcBorders>
              <w:top w:val="nil"/>
              <w:left w:val="nil"/>
              <w:bottom w:val="nil"/>
              <w:right w:val="nil"/>
            </w:tcBorders>
          </w:tcPr>
          <w:p w14:paraId="6F5BF6DD" w14:textId="6805A9CC" w:rsidR="00126308" w:rsidRPr="00CD11DE" w:rsidRDefault="009F0AFC" w:rsidP="00126308">
            <w:pPr>
              <w:rPr>
                <w:sz w:val="20"/>
                <w:szCs w:val="20"/>
              </w:rPr>
            </w:pPr>
            <w:r w:rsidRPr="00CD11DE">
              <w:rPr>
                <w:sz w:val="20"/>
                <w:szCs w:val="20"/>
              </w:rPr>
              <w:t>Disclosure of information relating to the risk assessment process and resulting capital adequacy</w:t>
            </w:r>
            <w:r w:rsidR="00815292" w:rsidRPr="00CD11DE">
              <w:rPr>
                <w:sz w:val="20"/>
                <w:szCs w:val="20"/>
              </w:rPr>
              <w:t>.</w:t>
            </w:r>
            <w:r w:rsidR="008420FD" w:rsidRPr="00CD11DE">
              <w:rPr>
                <w:sz w:val="20"/>
                <w:szCs w:val="20"/>
              </w:rPr>
              <w:t xml:space="preserve"> The Pillar 3 Disclosures are designed to promote market discipline through external disclosure of a firm’s risk management framework and risk exposures</w:t>
            </w:r>
          </w:p>
        </w:tc>
      </w:tr>
    </w:tbl>
    <w:p w14:paraId="4C57C0B4" w14:textId="575DF41B" w:rsidR="00A63104" w:rsidRPr="00CD11DE" w:rsidRDefault="00A63104" w:rsidP="00126308">
      <w:pPr>
        <w:rPr>
          <w:sz w:val="20"/>
          <w:szCs w:val="20"/>
        </w:rPr>
      </w:pPr>
      <w:r w:rsidRPr="5EB8282C">
        <w:rPr>
          <w:sz w:val="20"/>
          <w:szCs w:val="20"/>
        </w:rPr>
        <w:lastRenderedPageBreak/>
        <w:t>The UK implemented CRD V on 31</w:t>
      </w:r>
      <w:r w:rsidRPr="5EB8282C">
        <w:rPr>
          <w:sz w:val="20"/>
          <w:szCs w:val="20"/>
          <w:vertAlign w:val="superscript"/>
        </w:rPr>
        <w:t>st</w:t>
      </w:r>
      <w:r w:rsidR="353AD19C" w:rsidRPr="5EB8282C">
        <w:rPr>
          <w:sz w:val="20"/>
          <w:szCs w:val="20"/>
          <w:vertAlign w:val="superscript"/>
        </w:rPr>
        <w:t xml:space="preserve"> </w:t>
      </w:r>
      <w:r w:rsidRPr="5EB8282C">
        <w:rPr>
          <w:sz w:val="20"/>
          <w:szCs w:val="20"/>
        </w:rPr>
        <w:t>December 2020, with the aim of addressing the adequacy and effectiveness of capital and liquidity resources. This implementation included an improved approach, known as Pillar 2, for managing and controlling profit rate risk in the banking book (PRRBB). Additionally, it introduced several measures specific to the European Union (EU) to promote greater consistency in both micro and macro prudential supervision, while also enhancing proportionality in prudential requirements.</w:t>
      </w:r>
    </w:p>
    <w:p w14:paraId="21C9A63F" w14:textId="0DC5C543" w:rsidR="00126308" w:rsidRPr="00CD11DE" w:rsidRDefault="000F517D" w:rsidP="00126308">
      <w:pPr>
        <w:rPr>
          <w:sz w:val="20"/>
          <w:szCs w:val="20"/>
        </w:rPr>
      </w:pPr>
      <w:r w:rsidRPr="00CD11DE">
        <w:rPr>
          <w:sz w:val="20"/>
          <w:szCs w:val="20"/>
        </w:rPr>
        <w:t>The Bank’s disclosures have been prepared in accordance with the UK Capital Requirements Regulation (CRR) Disclosure part of the PRA rulebook following the implementation of PS22/21 ‘implementation of Basel Standards: Final rules’ which came into force on 1 January 2022.</w:t>
      </w:r>
    </w:p>
    <w:p w14:paraId="61F213BF" w14:textId="7C864FE9" w:rsidR="00873FC6" w:rsidRPr="00C62D72" w:rsidRDefault="00873FC6" w:rsidP="0023179E">
      <w:pPr>
        <w:pStyle w:val="Heading2"/>
        <w:rPr>
          <w:lang w:val="en-GB"/>
        </w:rPr>
      </w:pPr>
      <w:bookmarkStart w:id="49" w:name="_Toc201575403"/>
      <w:r w:rsidRPr="00C62D72">
        <w:rPr>
          <w:lang w:val="en-GB"/>
        </w:rPr>
        <w:t xml:space="preserve">Scope of </w:t>
      </w:r>
      <w:r w:rsidR="00903C6A" w:rsidRPr="00C62D72">
        <w:rPr>
          <w:lang w:val="en-GB"/>
        </w:rPr>
        <w:t>a</w:t>
      </w:r>
      <w:r w:rsidRPr="00C62D72">
        <w:rPr>
          <w:lang w:val="en-GB"/>
        </w:rPr>
        <w:t>pplication</w:t>
      </w:r>
      <w:bookmarkEnd w:id="49"/>
    </w:p>
    <w:p w14:paraId="1EEC60FA" w14:textId="77777777" w:rsidR="00873FC6" w:rsidRPr="00CD11DE" w:rsidRDefault="006B64B5" w:rsidP="00756B64">
      <w:pPr>
        <w:ind w:left="10"/>
        <w:rPr>
          <w:sz w:val="20"/>
          <w:szCs w:val="20"/>
        </w:rPr>
      </w:pPr>
      <w:r w:rsidRPr="00CD11DE">
        <w:rPr>
          <w:sz w:val="20"/>
          <w:szCs w:val="20"/>
        </w:rPr>
        <w:t xml:space="preserve">The Bank has no trading </w:t>
      </w:r>
      <w:r w:rsidR="00DC3095" w:rsidRPr="00CD11DE">
        <w:rPr>
          <w:sz w:val="20"/>
          <w:szCs w:val="20"/>
        </w:rPr>
        <w:t>subsidiaries;</w:t>
      </w:r>
      <w:r w:rsidRPr="00CD11DE">
        <w:rPr>
          <w:sz w:val="20"/>
          <w:szCs w:val="20"/>
        </w:rPr>
        <w:t xml:space="preserve"> </w:t>
      </w:r>
      <w:r w:rsidR="00DC3095" w:rsidRPr="00CD11DE">
        <w:rPr>
          <w:sz w:val="20"/>
          <w:szCs w:val="20"/>
        </w:rPr>
        <w:t>therefore,</w:t>
      </w:r>
      <w:r w:rsidRPr="00CD11DE">
        <w:rPr>
          <w:sz w:val="20"/>
          <w:szCs w:val="20"/>
        </w:rPr>
        <w:t xml:space="preserve"> this</w:t>
      </w:r>
      <w:r w:rsidR="00873FC6" w:rsidRPr="00CD11DE">
        <w:rPr>
          <w:sz w:val="20"/>
          <w:szCs w:val="20"/>
        </w:rPr>
        <w:t xml:space="preserve"> document </w:t>
      </w:r>
      <w:r w:rsidRPr="00CD11DE">
        <w:rPr>
          <w:sz w:val="20"/>
          <w:szCs w:val="20"/>
        </w:rPr>
        <w:t xml:space="preserve">only </w:t>
      </w:r>
      <w:r w:rsidR="00873FC6" w:rsidRPr="00CD11DE">
        <w:rPr>
          <w:sz w:val="20"/>
          <w:szCs w:val="20"/>
        </w:rPr>
        <w:t>contains the Pillar 3 disclosures for Al Rayan Bank PLC.</w:t>
      </w:r>
    </w:p>
    <w:p w14:paraId="6D512172" w14:textId="77777777" w:rsidR="00F8266F" w:rsidRPr="00C62D72" w:rsidRDefault="009F0AFC" w:rsidP="0023179E">
      <w:pPr>
        <w:pStyle w:val="Heading2"/>
        <w:rPr>
          <w:lang w:val="en-GB"/>
        </w:rPr>
      </w:pPr>
      <w:bookmarkStart w:id="50" w:name="_Toc492041245"/>
      <w:bookmarkStart w:id="51" w:name="_Toc492044719"/>
      <w:bookmarkStart w:id="52" w:name="_Toc492056147"/>
      <w:bookmarkStart w:id="53" w:name="_Toc492112712"/>
      <w:bookmarkStart w:id="54" w:name="_Toc492359810"/>
      <w:bookmarkStart w:id="55" w:name="_Toc492021090"/>
      <w:bookmarkStart w:id="56" w:name="_Toc201575404"/>
      <w:bookmarkEnd w:id="50"/>
      <w:bookmarkEnd w:id="51"/>
      <w:bookmarkEnd w:id="52"/>
      <w:bookmarkEnd w:id="53"/>
      <w:bookmarkEnd w:id="54"/>
      <w:r w:rsidRPr="00C62D72">
        <w:rPr>
          <w:lang w:val="en-GB"/>
        </w:rPr>
        <w:t>Basis and frequency of disclosures</w:t>
      </w:r>
      <w:bookmarkEnd w:id="55"/>
      <w:bookmarkEnd w:id="56"/>
      <w:r w:rsidRPr="00C62D72">
        <w:rPr>
          <w:lang w:val="en-GB"/>
        </w:rPr>
        <w:t xml:space="preserve"> </w:t>
      </w:r>
    </w:p>
    <w:p w14:paraId="12281336" w14:textId="4EFE2D22" w:rsidR="009273BE" w:rsidRPr="00CD11DE" w:rsidRDefault="001F4BF6" w:rsidP="00756B64">
      <w:pPr>
        <w:rPr>
          <w:sz w:val="20"/>
          <w:szCs w:val="20"/>
        </w:rPr>
      </w:pPr>
      <w:r w:rsidRPr="00CD11DE">
        <w:rPr>
          <w:sz w:val="20"/>
          <w:szCs w:val="20"/>
        </w:rPr>
        <w:t xml:space="preserve">Unless stated otherwise, all data is at </w:t>
      </w:r>
      <w:r w:rsidR="00A44118" w:rsidRPr="00CD11DE">
        <w:rPr>
          <w:sz w:val="20"/>
          <w:szCs w:val="20"/>
        </w:rPr>
        <w:t xml:space="preserve">or for the year to </w:t>
      </w:r>
      <w:r w:rsidR="00AF5B29" w:rsidRPr="00CD11DE">
        <w:rPr>
          <w:sz w:val="20"/>
          <w:szCs w:val="20"/>
        </w:rPr>
        <w:t>31</w:t>
      </w:r>
      <w:r w:rsidR="00641D1B" w:rsidRPr="00CD11DE">
        <w:rPr>
          <w:sz w:val="20"/>
          <w:szCs w:val="20"/>
          <w:vertAlign w:val="superscript"/>
        </w:rPr>
        <w:t>st</w:t>
      </w:r>
      <w:r w:rsidR="00AF5B29" w:rsidRPr="00CD11DE">
        <w:rPr>
          <w:sz w:val="20"/>
          <w:szCs w:val="20"/>
        </w:rPr>
        <w:t xml:space="preserve"> December </w:t>
      </w:r>
      <w:r w:rsidR="0023087C">
        <w:rPr>
          <w:sz w:val="20"/>
          <w:szCs w:val="20"/>
        </w:rPr>
        <w:t>2024</w:t>
      </w:r>
      <w:r w:rsidR="00E02C65" w:rsidRPr="00CD11DE">
        <w:rPr>
          <w:sz w:val="20"/>
          <w:szCs w:val="20"/>
        </w:rPr>
        <w:t>, with 31</w:t>
      </w:r>
      <w:r w:rsidR="00641D1B" w:rsidRPr="00CD11DE">
        <w:rPr>
          <w:sz w:val="20"/>
          <w:szCs w:val="20"/>
          <w:vertAlign w:val="superscript"/>
        </w:rPr>
        <w:t>st</w:t>
      </w:r>
      <w:r w:rsidR="00E02C65" w:rsidRPr="00CD11DE">
        <w:rPr>
          <w:sz w:val="20"/>
          <w:szCs w:val="20"/>
        </w:rPr>
        <w:t xml:space="preserve"> December </w:t>
      </w:r>
      <w:r w:rsidR="0023087C">
        <w:rPr>
          <w:sz w:val="20"/>
          <w:szCs w:val="20"/>
        </w:rPr>
        <w:t>2023</w:t>
      </w:r>
      <w:r w:rsidR="00E02C65" w:rsidRPr="00CD11DE">
        <w:rPr>
          <w:sz w:val="20"/>
          <w:szCs w:val="20"/>
        </w:rPr>
        <w:t xml:space="preserve"> </w:t>
      </w:r>
      <w:r w:rsidR="00F07B6E" w:rsidRPr="00CD11DE">
        <w:rPr>
          <w:sz w:val="20"/>
          <w:szCs w:val="20"/>
        </w:rPr>
        <w:t>comparatives</w:t>
      </w:r>
      <w:r w:rsidRPr="00CD11DE">
        <w:rPr>
          <w:sz w:val="20"/>
          <w:szCs w:val="20"/>
        </w:rPr>
        <w:t>. The term CRD IV is used throughout these disclosures as a collective term for CRD IV, CRR and the PRA’s policy statement</w:t>
      </w:r>
      <w:r w:rsidR="0076745A" w:rsidRPr="00CD11DE">
        <w:rPr>
          <w:sz w:val="20"/>
          <w:szCs w:val="20"/>
        </w:rPr>
        <w:t>s</w:t>
      </w:r>
      <w:r w:rsidRPr="00CD11DE">
        <w:rPr>
          <w:sz w:val="20"/>
          <w:szCs w:val="20"/>
        </w:rPr>
        <w:t xml:space="preserve">. </w:t>
      </w:r>
      <w:r w:rsidR="00A755C6" w:rsidRPr="00CD11DE">
        <w:rPr>
          <w:sz w:val="20"/>
          <w:szCs w:val="20"/>
        </w:rPr>
        <w:t>This report is in accordance with the rules laid out in the Capital Requirements Regulation (Part 8)</w:t>
      </w:r>
      <w:r w:rsidR="00401689" w:rsidRPr="00CD11DE">
        <w:rPr>
          <w:sz w:val="20"/>
          <w:szCs w:val="20"/>
        </w:rPr>
        <w:t xml:space="preserve"> as amended and </w:t>
      </w:r>
      <w:r w:rsidR="009D556B" w:rsidRPr="00CD11DE">
        <w:rPr>
          <w:sz w:val="20"/>
          <w:szCs w:val="20"/>
        </w:rPr>
        <w:t>on shored</w:t>
      </w:r>
      <w:r w:rsidR="00401689" w:rsidRPr="00CD11DE">
        <w:rPr>
          <w:sz w:val="20"/>
          <w:szCs w:val="20"/>
        </w:rPr>
        <w:t xml:space="preserve"> by the UK</w:t>
      </w:r>
      <w:r w:rsidR="00A755C6" w:rsidRPr="00CD11DE">
        <w:rPr>
          <w:sz w:val="20"/>
          <w:szCs w:val="20"/>
        </w:rPr>
        <w:t>.</w:t>
      </w:r>
      <w:r w:rsidR="00B71453" w:rsidRPr="00CD11DE">
        <w:rPr>
          <w:sz w:val="20"/>
          <w:szCs w:val="20"/>
        </w:rPr>
        <w:t xml:space="preserve"> </w:t>
      </w:r>
      <w:r w:rsidR="009273BE" w:rsidRPr="00CD11DE">
        <w:rPr>
          <w:sz w:val="20"/>
          <w:szCs w:val="20"/>
        </w:rPr>
        <w:t>This includes revised disclosure requirements applicable from 1 January 2022 following the UK implementation of the remaining provisions of Capital Requirements Regulation II.</w:t>
      </w:r>
    </w:p>
    <w:p w14:paraId="020ECF96" w14:textId="20EAECE5" w:rsidR="009273BE" w:rsidRPr="00CD11DE" w:rsidRDefault="009273BE" w:rsidP="009273BE">
      <w:pPr>
        <w:rPr>
          <w:sz w:val="20"/>
          <w:szCs w:val="20"/>
        </w:rPr>
      </w:pPr>
      <w:r w:rsidRPr="00CD11DE">
        <w:rPr>
          <w:sz w:val="20"/>
          <w:szCs w:val="20"/>
        </w:rPr>
        <w:t>The Bank qualifies as a small and non-complex institution in line with the requirements set out in article 4 (145) CRR, therefore, the Bank has included only those disclosure</w:t>
      </w:r>
      <w:r w:rsidR="00811E2E" w:rsidRPr="00CD11DE">
        <w:rPr>
          <w:sz w:val="20"/>
          <w:szCs w:val="20"/>
        </w:rPr>
        <w:t xml:space="preserve"> templates</w:t>
      </w:r>
      <w:r w:rsidRPr="00CD11DE">
        <w:rPr>
          <w:sz w:val="20"/>
          <w:szCs w:val="20"/>
        </w:rPr>
        <w:t xml:space="preserve"> which are applicable </w:t>
      </w:r>
      <w:r w:rsidR="00811E2E" w:rsidRPr="00CD11DE">
        <w:rPr>
          <w:sz w:val="20"/>
          <w:szCs w:val="20"/>
        </w:rPr>
        <w:t>to such an institution within Annex 1.</w:t>
      </w:r>
      <w:r w:rsidRPr="00CD11DE">
        <w:rPr>
          <w:sz w:val="20"/>
          <w:szCs w:val="20"/>
        </w:rPr>
        <w:t xml:space="preserve"> </w:t>
      </w:r>
    </w:p>
    <w:p w14:paraId="44C18ED6" w14:textId="08B71242" w:rsidR="001F4BF6" w:rsidRPr="00CD11DE" w:rsidRDefault="00873FC6" w:rsidP="00756B64">
      <w:pPr>
        <w:rPr>
          <w:sz w:val="20"/>
          <w:szCs w:val="20"/>
        </w:rPr>
      </w:pPr>
      <w:r w:rsidRPr="00CD11DE">
        <w:rPr>
          <w:sz w:val="20"/>
          <w:szCs w:val="20"/>
        </w:rPr>
        <w:t>T</w:t>
      </w:r>
      <w:r w:rsidR="001F4BF6" w:rsidRPr="00CD11DE">
        <w:rPr>
          <w:sz w:val="20"/>
          <w:szCs w:val="20"/>
        </w:rPr>
        <w:t>his document will be updated annually and will be based on the Bank’s most recent audited financial statements</w:t>
      </w:r>
      <w:r w:rsidR="005910D2" w:rsidRPr="00CD11DE">
        <w:rPr>
          <w:sz w:val="20"/>
          <w:szCs w:val="20"/>
        </w:rPr>
        <w:t xml:space="preserve"> and regulatory returns. The regulatory returns go through a </w:t>
      </w:r>
      <w:r w:rsidR="00E86878" w:rsidRPr="00CD11DE">
        <w:rPr>
          <w:sz w:val="20"/>
          <w:szCs w:val="20"/>
        </w:rPr>
        <w:t>four</w:t>
      </w:r>
      <w:r w:rsidR="005910D2" w:rsidRPr="00CD11DE">
        <w:rPr>
          <w:sz w:val="20"/>
          <w:szCs w:val="20"/>
        </w:rPr>
        <w:t>-eye check with reconciliation to management accounts and variance analysis explained where applicable.</w:t>
      </w:r>
      <w:r w:rsidR="001F4BF6" w:rsidRPr="00CD11DE">
        <w:rPr>
          <w:sz w:val="20"/>
          <w:szCs w:val="20"/>
        </w:rPr>
        <w:t xml:space="preserve"> </w:t>
      </w:r>
      <w:bookmarkStart w:id="57" w:name="_Hlk492483475"/>
      <w:bookmarkStart w:id="58" w:name="_Hlk137219671"/>
      <w:r w:rsidR="002650C3" w:rsidRPr="00CD11DE">
        <w:rPr>
          <w:sz w:val="20"/>
          <w:szCs w:val="20"/>
        </w:rPr>
        <w:t>T</w:t>
      </w:r>
      <w:r w:rsidR="00681D80" w:rsidRPr="00CD11DE">
        <w:rPr>
          <w:sz w:val="20"/>
          <w:szCs w:val="20"/>
        </w:rPr>
        <w:t>he disclosures may differ from similar information in the Bank’s Accounts which are prepared in accordance with International Financial Reporting Standards (IFRS). Therefore, the information in these disclosures may not be directly comparable.</w:t>
      </w:r>
      <w:bookmarkEnd w:id="57"/>
    </w:p>
    <w:bookmarkEnd w:id="58"/>
    <w:p w14:paraId="50917D9C" w14:textId="6FB51283" w:rsidR="006B64B5" w:rsidRPr="00CD11DE" w:rsidRDefault="006B64B5" w:rsidP="00756B64">
      <w:pPr>
        <w:rPr>
          <w:sz w:val="20"/>
          <w:szCs w:val="20"/>
        </w:rPr>
      </w:pPr>
      <w:r w:rsidRPr="00CD11DE">
        <w:rPr>
          <w:sz w:val="20"/>
          <w:szCs w:val="20"/>
        </w:rPr>
        <w:t xml:space="preserve">Both the </w:t>
      </w:r>
      <w:r w:rsidR="00ED51C3" w:rsidRPr="00CD11DE">
        <w:rPr>
          <w:sz w:val="20"/>
          <w:szCs w:val="20"/>
        </w:rPr>
        <w:t>Financial statements</w:t>
      </w:r>
      <w:r w:rsidR="00681D80" w:rsidRPr="00CD11DE">
        <w:rPr>
          <w:sz w:val="20"/>
          <w:szCs w:val="20"/>
        </w:rPr>
        <w:t xml:space="preserve"> </w:t>
      </w:r>
      <w:r w:rsidRPr="00CD11DE">
        <w:rPr>
          <w:sz w:val="20"/>
          <w:szCs w:val="20"/>
        </w:rPr>
        <w:t>and the Pillar 3 disclosures can be found on the Ba</w:t>
      </w:r>
      <w:r w:rsidR="009E4952" w:rsidRPr="00CD11DE">
        <w:rPr>
          <w:sz w:val="20"/>
          <w:szCs w:val="20"/>
        </w:rPr>
        <w:t>nk’s website.</w:t>
      </w:r>
    </w:p>
    <w:p w14:paraId="788CA9A7" w14:textId="77777777" w:rsidR="006B64B5" w:rsidRPr="00C62D72" w:rsidRDefault="006B64B5" w:rsidP="0023179E">
      <w:pPr>
        <w:pStyle w:val="Heading2"/>
        <w:rPr>
          <w:lang w:val="en-GB"/>
        </w:rPr>
      </w:pPr>
      <w:bookmarkStart w:id="59" w:name="_Toc201575405"/>
      <w:r w:rsidRPr="00C62D72">
        <w:rPr>
          <w:lang w:val="en-GB"/>
        </w:rPr>
        <w:t>Verification</w:t>
      </w:r>
      <w:bookmarkEnd w:id="59"/>
    </w:p>
    <w:p w14:paraId="47555FA8" w14:textId="7A097C16" w:rsidR="006B64B5" w:rsidRPr="00CD11DE" w:rsidRDefault="006B64B5" w:rsidP="00756B64">
      <w:pPr>
        <w:rPr>
          <w:sz w:val="20"/>
          <w:szCs w:val="20"/>
        </w:rPr>
      </w:pPr>
      <w:r w:rsidRPr="00CD11DE">
        <w:rPr>
          <w:sz w:val="20"/>
          <w:szCs w:val="20"/>
        </w:rPr>
        <w:t xml:space="preserve">These disclosures have been reviewed </w:t>
      </w:r>
      <w:r w:rsidR="0054055F" w:rsidRPr="00CD11DE">
        <w:rPr>
          <w:sz w:val="20"/>
          <w:szCs w:val="20"/>
        </w:rPr>
        <w:t xml:space="preserve">and approved </w:t>
      </w:r>
      <w:r w:rsidRPr="00CD11DE">
        <w:rPr>
          <w:sz w:val="20"/>
          <w:szCs w:val="20"/>
        </w:rPr>
        <w:t>by the Bank’s Executive Management Committee</w:t>
      </w:r>
      <w:r w:rsidR="009F3704" w:rsidRPr="00CD11DE">
        <w:rPr>
          <w:sz w:val="20"/>
          <w:szCs w:val="20"/>
        </w:rPr>
        <w:t xml:space="preserve">, </w:t>
      </w:r>
      <w:r w:rsidR="008420FD" w:rsidRPr="00CD11DE">
        <w:rPr>
          <w:sz w:val="20"/>
          <w:szCs w:val="20"/>
        </w:rPr>
        <w:t xml:space="preserve">Board </w:t>
      </w:r>
      <w:r w:rsidR="009E4952" w:rsidRPr="00CD11DE">
        <w:rPr>
          <w:sz w:val="20"/>
          <w:szCs w:val="20"/>
        </w:rPr>
        <w:t>A</w:t>
      </w:r>
      <w:r w:rsidR="009912F1" w:rsidRPr="00CD11DE">
        <w:rPr>
          <w:sz w:val="20"/>
          <w:szCs w:val="20"/>
        </w:rPr>
        <w:t xml:space="preserve">udit </w:t>
      </w:r>
      <w:r w:rsidR="009E4952" w:rsidRPr="00CD11DE">
        <w:rPr>
          <w:sz w:val="20"/>
          <w:szCs w:val="20"/>
        </w:rPr>
        <w:t>C</w:t>
      </w:r>
      <w:r w:rsidR="009912F1" w:rsidRPr="00CD11DE">
        <w:rPr>
          <w:sz w:val="20"/>
          <w:szCs w:val="20"/>
        </w:rPr>
        <w:t>ommittee</w:t>
      </w:r>
      <w:r w:rsidR="009F3704" w:rsidRPr="00CD11DE">
        <w:rPr>
          <w:sz w:val="20"/>
          <w:szCs w:val="20"/>
        </w:rPr>
        <w:t xml:space="preserve"> and </w:t>
      </w:r>
      <w:r w:rsidR="00E215AA" w:rsidRPr="00CD11DE">
        <w:rPr>
          <w:sz w:val="20"/>
          <w:szCs w:val="20"/>
        </w:rPr>
        <w:t xml:space="preserve">the </w:t>
      </w:r>
      <w:r w:rsidR="009F3704" w:rsidRPr="00CD11DE">
        <w:rPr>
          <w:sz w:val="20"/>
          <w:szCs w:val="20"/>
        </w:rPr>
        <w:t>Board</w:t>
      </w:r>
      <w:r w:rsidR="00214D23" w:rsidRPr="00CD11DE">
        <w:rPr>
          <w:sz w:val="20"/>
          <w:szCs w:val="20"/>
        </w:rPr>
        <w:t>.</w:t>
      </w:r>
      <w:r w:rsidRPr="00CD11DE">
        <w:rPr>
          <w:sz w:val="20"/>
          <w:szCs w:val="20"/>
        </w:rPr>
        <w:t xml:space="preserve"> </w:t>
      </w:r>
    </w:p>
    <w:p w14:paraId="314390C4" w14:textId="77777777" w:rsidR="00F8266F" w:rsidRPr="00C62D72" w:rsidRDefault="009F0AFC" w:rsidP="0023179E">
      <w:pPr>
        <w:pStyle w:val="Heading2"/>
        <w:rPr>
          <w:lang w:val="en-GB"/>
        </w:rPr>
      </w:pPr>
      <w:bookmarkStart w:id="60" w:name="_Toc492021091"/>
      <w:bookmarkStart w:id="61" w:name="_Toc201575406"/>
      <w:r w:rsidRPr="00C62D72">
        <w:rPr>
          <w:lang w:val="en-GB"/>
        </w:rPr>
        <w:t>External audit</w:t>
      </w:r>
      <w:bookmarkEnd w:id="60"/>
      <w:bookmarkEnd w:id="61"/>
      <w:r w:rsidRPr="00C62D72">
        <w:rPr>
          <w:lang w:val="en-GB"/>
        </w:rPr>
        <w:t xml:space="preserve"> </w:t>
      </w:r>
    </w:p>
    <w:p w14:paraId="081575CA" w14:textId="36DF7A48" w:rsidR="003A502F" w:rsidRPr="00CD11DE" w:rsidRDefault="009F0AFC" w:rsidP="00756B64">
      <w:pPr>
        <w:ind w:left="-5"/>
        <w:rPr>
          <w:sz w:val="20"/>
          <w:szCs w:val="20"/>
        </w:rPr>
      </w:pPr>
      <w:bookmarkStart w:id="62" w:name="_Hlk492484472"/>
      <w:r w:rsidRPr="00CD11DE">
        <w:rPr>
          <w:sz w:val="20"/>
          <w:szCs w:val="20"/>
        </w:rPr>
        <w:t>The disclosures provided in this document have</w:t>
      </w:r>
      <w:r w:rsidR="00EC2778" w:rsidRPr="00CD11DE">
        <w:rPr>
          <w:sz w:val="20"/>
          <w:szCs w:val="20"/>
        </w:rPr>
        <w:t xml:space="preserve"> been internally verified </w:t>
      </w:r>
      <w:r w:rsidR="0076745A" w:rsidRPr="00CD11DE">
        <w:rPr>
          <w:sz w:val="20"/>
          <w:szCs w:val="20"/>
        </w:rPr>
        <w:t xml:space="preserve">by management </w:t>
      </w:r>
      <w:r w:rsidR="00EC2778" w:rsidRPr="00CD11DE">
        <w:rPr>
          <w:sz w:val="20"/>
          <w:szCs w:val="20"/>
        </w:rPr>
        <w:t xml:space="preserve">but </w:t>
      </w:r>
      <w:r w:rsidR="00903C6A" w:rsidRPr="00CD11DE">
        <w:rPr>
          <w:sz w:val="20"/>
          <w:szCs w:val="20"/>
        </w:rPr>
        <w:t>have not</w:t>
      </w:r>
      <w:r w:rsidRPr="00CD11DE">
        <w:rPr>
          <w:sz w:val="20"/>
          <w:szCs w:val="20"/>
        </w:rPr>
        <w:t xml:space="preserve"> been subjected to external audit</w:t>
      </w:r>
      <w:r w:rsidR="00D10457" w:rsidRPr="00CD11DE">
        <w:rPr>
          <w:sz w:val="20"/>
          <w:szCs w:val="20"/>
        </w:rPr>
        <w:t>.</w:t>
      </w:r>
      <w:r w:rsidRPr="00CD11DE">
        <w:rPr>
          <w:sz w:val="20"/>
          <w:szCs w:val="20"/>
        </w:rPr>
        <w:t xml:space="preserve"> </w:t>
      </w:r>
      <w:bookmarkEnd w:id="62"/>
    </w:p>
    <w:p w14:paraId="3A547DE8" w14:textId="77777777" w:rsidR="003A502F" w:rsidRPr="00C62D72" w:rsidRDefault="003A502F" w:rsidP="0023179E">
      <w:pPr>
        <w:pStyle w:val="Heading2"/>
        <w:rPr>
          <w:lang w:val="en-GB"/>
        </w:rPr>
      </w:pPr>
      <w:bookmarkStart w:id="63" w:name="_Toc201575407"/>
      <w:r w:rsidRPr="00C62D72">
        <w:rPr>
          <w:lang w:val="en-GB"/>
        </w:rPr>
        <w:t>Board responsibility for risk management</w:t>
      </w:r>
      <w:bookmarkEnd w:id="63"/>
      <w:r w:rsidRPr="00C62D72">
        <w:rPr>
          <w:lang w:val="en-GB"/>
        </w:rPr>
        <w:t xml:space="preserve"> </w:t>
      </w:r>
    </w:p>
    <w:p w14:paraId="566EF79C" w14:textId="11D5FE12" w:rsidR="003A502F" w:rsidRPr="00CD11DE" w:rsidRDefault="006E0344" w:rsidP="00756B64">
      <w:pPr>
        <w:rPr>
          <w:sz w:val="20"/>
          <w:szCs w:val="20"/>
        </w:rPr>
      </w:pPr>
      <w:r w:rsidRPr="00CD11DE">
        <w:rPr>
          <w:sz w:val="20"/>
          <w:szCs w:val="20"/>
        </w:rPr>
        <w:t>The Board has overall accountability</w:t>
      </w:r>
      <w:r w:rsidR="00641D1B" w:rsidRPr="00CD11DE">
        <w:rPr>
          <w:sz w:val="20"/>
          <w:szCs w:val="20"/>
        </w:rPr>
        <w:t xml:space="preserve"> and ownership</w:t>
      </w:r>
      <w:r w:rsidRPr="00CD11DE">
        <w:rPr>
          <w:sz w:val="20"/>
          <w:szCs w:val="20"/>
        </w:rPr>
        <w:t xml:space="preserve"> for ensuring that the </w:t>
      </w:r>
      <w:r w:rsidR="00C623C8" w:rsidRPr="00CD11DE">
        <w:rPr>
          <w:sz w:val="20"/>
          <w:szCs w:val="20"/>
        </w:rPr>
        <w:t>B</w:t>
      </w:r>
      <w:r w:rsidRPr="00CD11DE">
        <w:rPr>
          <w:sz w:val="20"/>
          <w:szCs w:val="20"/>
        </w:rPr>
        <w:t xml:space="preserve">ank has an appropriate system of risk management in place to ensure risks in the </w:t>
      </w:r>
      <w:r w:rsidR="00C623C8" w:rsidRPr="00CD11DE">
        <w:rPr>
          <w:sz w:val="20"/>
          <w:szCs w:val="20"/>
        </w:rPr>
        <w:t>b</w:t>
      </w:r>
      <w:r w:rsidRPr="00CD11DE">
        <w:rPr>
          <w:sz w:val="20"/>
          <w:szCs w:val="20"/>
        </w:rPr>
        <w:t>ank are</w:t>
      </w:r>
      <w:r w:rsidR="00783782" w:rsidRPr="00CD11DE">
        <w:rPr>
          <w:sz w:val="20"/>
          <w:szCs w:val="20"/>
        </w:rPr>
        <w:t xml:space="preserve"> quantified,</w:t>
      </w:r>
      <w:r w:rsidRPr="00CD11DE">
        <w:rPr>
          <w:sz w:val="20"/>
          <w:szCs w:val="20"/>
        </w:rPr>
        <w:t xml:space="preserve"> identified, assessed, managed, mitigated and reported</w:t>
      </w:r>
      <w:r w:rsidR="003A502F" w:rsidRPr="00CD11DE">
        <w:rPr>
          <w:sz w:val="20"/>
          <w:szCs w:val="20"/>
        </w:rPr>
        <w:t xml:space="preserve">.  </w:t>
      </w:r>
    </w:p>
    <w:p w14:paraId="32B70D46" w14:textId="77777777" w:rsidR="00867B92" w:rsidRDefault="003A502F" w:rsidP="00756B64">
      <w:pPr>
        <w:rPr>
          <w:sz w:val="20"/>
          <w:szCs w:val="20"/>
        </w:rPr>
      </w:pPr>
      <w:r w:rsidRPr="00CD11DE">
        <w:rPr>
          <w:sz w:val="20"/>
          <w:szCs w:val="20"/>
        </w:rPr>
        <w:lastRenderedPageBreak/>
        <w:t xml:space="preserve">The Board considers that, as at </w:t>
      </w:r>
      <w:r w:rsidR="00AF5B29" w:rsidRPr="00CD11DE">
        <w:rPr>
          <w:sz w:val="20"/>
          <w:szCs w:val="20"/>
        </w:rPr>
        <w:t>31</w:t>
      </w:r>
      <w:r w:rsidR="00641D1B" w:rsidRPr="00CD11DE">
        <w:rPr>
          <w:sz w:val="20"/>
          <w:szCs w:val="20"/>
          <w:vertAlign w:val="superscript"/>
        </w:rPr>
        <w:t>st</w:t>
      </w:r>
      <w:r w:rsidR="00AF5B29" w:rsidRPr="00CD11DE">
        <w:rPr>
          <w:sz w:val="20"/>
          <w:szCs w:val="20"/>
        </w:rPr>
        <w:t xml:space="preserve"> December </w:t>
      </w:r>
      <w:r w:rsidR="0023087C">
        <w:rPr>
          <w:sz w:val="20"/>
          <w:szCs w:val="20"/>
        </w:rPr>
        <w:t>2024</w:t>
      </w:r>
      <w:r w:rsidRPr="00CD11DE">
        <w:rPr>
          <w:sz w:val="20"/>
          <w:szCs w:val="20"/>
        </w:rPr>
        <w:t xml:space="preserve">, it had in place adequate systems and controls </w:t>
      </w:r>
      <w:r w:rsidR="00F57629" w:rsidRPr="00CD11DE">
        <w:rPr>
          <w:sz w:val="20"/>
          <w:szCs w:val="20"/>
        </w:rPr>
        <w:t>regarding</w:t>
      </w:r>
      <w:r w:rsidRPr="00CD11DE">
        <w:rPr>
          <w:sz w:val="20"/>
          <w:szCs w:val="20"/>
        </w:rPr>
        <w:t xml:space="preserve"> the </w:t>
      </w:r>
      <w:r w:rsidR="00C14D29" w:rsidRPr="00CD11DE">
        <w:rPr>
          <w:sz w:val="20"/>
          <w:szCs w:val="20"/>
        </w:rPr>
        <w:t>Bank</w:t>
      </w:r>
      <w:r w:rsidRPr="00CD11DE">
        <w:rPr>
          <w:sz w:val="20"/>
          <w:szCs w:val="20"/>
        </w:rPr>
        <w:t xml:space="preserve">’s risk profile and strategy. Furthermore, the Board can confirm that the </w:t>
      </w:r>
      <w:r w:rsidR="00C14D29" w:rsidRPr="00CD11DE">
        <w:rPr>
          <w:sz w:val="20"/>
          <w:szCs w:val="20"/>
        </w:rPr>
        <w:t>Bank</w:t>
      </w:r>
      <w:r w:rsidRPr="00CD11DE">
        <w:rPr>
          <w:sz w:val="20"/>
          <w:szCs w:val="20"/>
        </w:rPr>
        <w:t xml:space="preserve"> remained within defined</w:t>
      </w:r>
      <w:r w:rsidR="00C87B4C" w:rsidRPr="00CD11DE">
        <w:rPr>
          <w:sz w:val="20"/>
          <w:szCs w:val="20"/>
        </w:rPr>
        <w:t xml:space="preserve"> regulatory</w:t>
      </w:r>
      <w:r w:rsidRPr="00CD11DE">
        <w:rPr>
          <w:sz w:val="20"/>
          <w:szCs w:val="20"/>
        </w:rPr>
        <w:t xml:space="preserve"> limits for risk exposure throughout the year for all principal risks.   </w:t>
      </w:r>
    </w:p>
    <w:p w14:paraId="52497709" w14:textId="77777777" w:rsidR="00867B92" w:rsidRDefault="00867B92" w:rsidP="00756B64">
      <w:pPr>
        <w:rPr>
          <w:sz w:val="20"/>
          <w:szCs w:val="20"/>
        </w:rPr>
      </w:pPr>
    </w:p>
    <w:p w14:paraId="6020B4A0" w14:textId="77777777" w:rsidR="00867B92" w:rsidRDefault="00867B92" w:rsidP="00756B64">
      <w:pPr>
        <w:rPr>
          <w:sz w:val="20"/>
          <w:szCs w:val="20"/>
        </w:rPr>
      </w:pPr>
    </w:p>
    <w:p w14:paraId="74DB71CC" w14:textId="77777777" w:rsidR="00867B92" w:rsidRDefault="00867B92" w:rsidP="00756B64">
      <w:pPr>
        <w:rPr>
          <w:sz w:val="20"/>
          <w:szCs w:val="20"/>
        </w:rPr>
      </w:pPr>
    </w:p>
    <w:p w14:paraId="7D178824" w14:textId="77777777" w:rsidR="00867B92" w:rsidRDefault="00867B92" w:rsidP="00756B64">
      <w:pPr>
        <w:rPr>
          <w:sz w:val="20"/>
          <w:szCs w:val="20"/>
        </w:rPr>
      </w:pPr>
    </w:p>
    <w:p w14:paraId="782829FA" w14:textId="77777777" w:rsidR="00867B92" w:rsidRDefault="00867B92" w:rsidP="00756B64">
      <w:pPr>
        <w:rPr>
          <w:sz w:val="20"/>
          <w:szCs w:val="20"/>
        </w:rPr>
      </w:pPr>
    </w:p>
    <w:p w14:paraId="09DF19CB" w14:textId="77777777" w:rsidR="00867B92" w:rsidRDefault="00867B92" w:rsidP="00756B64">
      <w:pPr>
        <w:rPr>
          <w:sz w:val="20"/>
          <w:szCs w:val="20"/>
        </w:rPr>
      </w:pPr>
    </w:p>
    <w:p w14:paraId="60C4FDD9" w14:textId="77777777" w:rsidR="00867B92" w:rsidRDefault="00867B92" w:rsidP="00756B64">
      <w:pPr>
        <w:rPr>
          <w:sz w:val="20"/>
          <w:szCs w:val="20"/>
        </w:rPr>
      </w:pPr>
    </w:p>
    <w:p w14:paraId="733AC60B" w14:textId="77777777" w:rsidR="00867B92" w:rsidRDefault="00867B92" w:rsidP="00756B64">
      <w:pPr>
        <w:rPr>
          <w:sz w:val="20"/>
          <w:szCs w:val="20"/>
        </w:rPr>
      </w:pPr>
    </w:p>
    <w:p w14:paraId="7BB84447" w14:textId="77777777" w:rsidR="00867B92" w:rsidRDefault="00867B92" w:rsidP="00756B64">
      <w:pPr>
        <w:rPr>
          <w:sz w:val="20"/>
          <w:szCs w:val="20"/>
        </w:rPr>
      </w:pPr>
    </w:p>
    <w:p w14:paraId="05D00679" w14:textId="77777777" w:rsidR="00867B92" w:rsidRDefault="00867B92" w:rsidP="00756B64">
      <w:pPr>
        <w:rPr>
          <w:sz w:val="20"/>
          <w:szCs w:val="20"/>
        </w:rPr>
      </w:pPr>
    </w:p>
    <w:p w14:paraId="4E9A7440" w14:textId="77777777" w:rsidR="00867B92" w:rsidRDefault="00867B92" w:rsidP="00756B64">
      <w:pPr>
        <w:rPr>
          <w:sz w:val="20"/>
          <w:szCs w:val="20"/>
        </w:rPr>
      </w:pPr>
    </w:p>
    <w:p w14:paraId="647ECD83" w14:textId="77777777" w:rsidR="00867B92" w:rsidRDefault="00867B92" w:rsidP="00756B64">
      <w:pPr>
        <w:rPr>
          <w:sz w:val="20"/>
          <w:szCs w:val="20"/>
        </w:rPr>
      </w:pPr>
    </w:p>
    <w:p w14:paraId="15C81468" w14:textId="77777777" w:rsidR="00867B92" w:rsidRDefault="00867B92" w:rsidP="00756B64">
      <w:pPr>
        <w:rPr>
          <w:sz w:val="20"/>
          <w:szCs w:val="20"/>
        </w:rPr>
      </w:pPr>
    </w:p>
    <w:p w14:paraId="18482D84" w14:textId="77777777" w:rsidR="00867B92" w:rsidRDefault="00867B92" w:rsidP="00756B64">
      <w:pPr>
        <w:rPr>
          <w:sz w:val="20"/>
          <w:szCs w:val="20"/>
        </w:rPr>
      </w:pPr>
    </w:p>
    <w:p w14:paraId="2168142F" w14:textId="5D08187D" w:rsidR="00867B92" w:rsidRPr="00C62D72" w:rsidRDefault="00867B92" w:rsidP="00867B92">
      <w:pPr>
        <w:jc w:val="center"/>
        <w:rPr>
          <w:sz w:val="18"/>
          <w:szCs w:val="18"/>
        </w:rPr>
      </w:pPr>
      <w:r w:rsidRPr="00C62D72">
        <w:rPr>
          <w:b/>
          <w:bCs/>
          <w:sz w:val="20"/>
          <w:szCs w:val="20"/>
        </w:rPr>
        <w:t>[Remainder of page intentionally left blank]</w:t>
      </w:r>
    </w:p>
    <w:p w14:paraId="7A1DFCB3" w14:textId="37677D8C" w:rsidR="00E23204" w:rsidRPr="00CD11DE" w:rsidRDefault="00E23204" w:rsidP="00756B64">
      <w:pPr>
        <w:rPr>
          <w:sz w:val="20"/>
          <w:szCs w:val="20"/>
        </w:rPr>
      </w:pPr>
      <w:r w:rsidRPr="00CD11DE">
        <w:rPr>
          <w:sz w:val="20"/>
          <w:szCs w:val="20"/>
        </w:rPr>
        <w:br w:type="page"/>
      </w:r>
    </w:p>
    <w:p w14:paraId="7FE0A1E2" w14:textId="63045AAF" w:rsidR="003B7D50" w:rsidRPr="00C62D72" w:rsidRDefault="00051100" w:rsidP="00285B0B">
      <w:pPr>
        <w:pStyle w:val="Heading1"/>
        <w:rPr>
          <w:lang w:val="en-GB"/>
        </w:rPr>
      </w:pPr>
      <w:bookmarkStart w:id="64" w:name="_Toc201575408"/>
      <w:r w:rsidRPr="00C62D72">
        <w:rPr>
          <w:rFonts w:ascii="Arial" w:hAnsi="Arial"/>
          <w:lang w:val="en-GB"/>
        </w:rPr>
        <w:lastRenderedPageBreak/>
        <w:t xml:space="preserve">Governance </w:t>
      </w:r>
      <w:r w:rsidR="00A854F6" w:rsidRPr="00C62D72">
        <w:rPr>
          <w:rFonts w:ascii="Arial" w:hAnsi="Arial"/>
          <w:lang w:val="en-GB"/>
        </w:rPr>
        <w:t>S</w:t>
      </w:r>
      <w:r w:rsidRPr="00C62D72">
        <w:rPr>
          <w:rFonts w:ascii="Arial" w:hAnsi="Arial"/>
          <w:lang w:val="en-GB"/>
        </w:rPr>
        <w:t>tructure</w:t>
      </w:r>
      <w:bookmarkStart w:id="65" w:name="_Toc492111183"/>
      <w:bookmarkEnd w:id="64"/>
    </w:p>
    <w:p w14:paraId="6F8AF968" w14:textId="308C019C" w:rsidR="00285B0B" w:rsidRPr="00CD11DE" w:rsidRDefault="00285B0B" w:rsidP="008B7687">
      <w:pPr>
        <w:spacing w:after="240" w:line="259" w:lineRule="auto"/>
        <w:rPr>
          <w:sz w:val="20"/>
          <w:szCs w:val="20"/>
        </w:rPr>
      </w:pPr>
      <w:r w:rsidRPr="00CD11DE">
        <w:rPr>
          <w:sz w:val="20"/>
          <w:szCs w:val="20"/>
        </w:rPr>
        <w:t>Risk governance is an integral aspect of the Bank’s corporate governance which focuses on the structures, processes and approach to the management of the Primary Risks to the Bank’s objectives. This includes clearly defined accountabilities and expectations for all relevant parties, including the roles and responsibilities of the Board, management and employees for the management and oversight of all Primary Risk Types.</w:t>
      </w:r>
    </w:p>
    <w:p w14:paraId="5E8D92D2" w14:textId="57BD6678" w:rsidR="00641D1B" w:rsidRPr="00CD11DE" w:rsidRDefault="003B7D50" w:rsidP="008B7687">
      <w:pPr>
        <w:spacing w:after="240" w:line="259" w:lineRule="auto"/>
        <w:rPr>
          <w:sz w:val="20"/>
          <w:szCs w:val="20"/>
        </w:rPr>
      </w:pPr>
      <w:r w:rsidRPr="00CD11DE">
        <w:rPr>
          <w:sz w:val="20"/>
          <w:szCs w:val="20"/>
        </w:rPr>
        <w:t>The Bank’s approach to risk governance ensures that risk management is directed and controlled by the Bank’s Board and utilises hierarchical management control structures and management information as appropriate. Figure 1 below illustrates the Bank’s overall risk governance structure which provides a framework for the identification, assessment, control / effective management, monitoring and reporting of risks across the Bank.</w:t>
      </w:r>
      <w:r w:rsidR="00641D1B" w:rsidRPr="00CD11DE">
        <w:rPr>
          <w:sz w:val="20"/>
          <w:szCs w:val="20"/>
        </w:rPr>
        <w:t xml:space="preserve"> </w:t>
      </w:r>
    </w:p>
    <w:p w14:paraId="0BAD0473" w14:textId="1972437D" w:rsidR="00B5793C" w:rsidRPr="00CD11DE" w:rsidRDefault="00567AA7" w:rsidP="00F260C3">
      <w:pPr>
        <w:pStyle w:val="Caption"/>
      </w:pPr>
      <w:r w:rsidRPr="00567AA7">
        <w:rPr>
          <w:noProof/>
        </w:rPr>
        <w:drawing>
          <wp:anchor distT="0" distB="0" distL="114300" distR="114300" simplePos="0" relativeHeight="251663364" behindDoc="0" locked="0" layoutInCell="1" allowOverlap="1" wp14:anchorId="68AFB659" wp14:editId="4F93D685">
            <wp:simplePos x="0" y="0"/>
            <wp:positionH relativeFrom="margin">
              <wp:align>right</wp:align>
            </wp:positionH>
            <wp:positionV relativeFrom="paragraph">
              <wp:posOffset>172085</wp:posOffset>
            </wp:positionV>
            <wp:extent cx="5738495" cy="2670810"/>
            <wp:effectExtent l="0" t="0" r="0" b="0"/>
            <wp:wrapSquare wrapText="bothSides"/>
            <wp:docPr id="9019191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8495" cy="267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AD0" w:rsidRPr="00CD11DE">
        <w:t xml:space="preserve">Figure </w:t>
      </w:r>
      <w:r w:rsidR="00D36AD0" w:rsidRPr="00CD11DE">
        <w:fldChar w:fldCharType="begin"/>
      </w:r>
      <w:r w:rsidR="00D36AD0" w:rsidRPr="00CD11DE">
        <w:instrText xml:space="preserve"> SEQ Figure \* ARABIC </w:instrText>
      </w:r>
      <w:r w:rsidR="00D36AD0" w:rsidRPr="00CD11DE">
        <w:fldChar w:fldCharType="separate"/>
      </w:r>
      <w:r w:rsidR="002878FB" w:rsidRPr="00CD11DE">
        <w:rPr>
          <w:noProof/>
        </w:rPr>
        <w:t>1</w:t>
      </w:r>
      <w:r w:rsidR="00D36AD0" w:rsidRPr="00CD11DE">
        <w:fldChar w:fldCharType="end"/>
      </w:r>
      <w:r w:rsidR="00D36AD0" w:rsidRPr="00CD11DE">
        <w:t xml:space="preserve">: Al Rayan Bank Governance </w:t>
      </w:r>
      <w:r w:rsidR="003B7D50" w:rsidRPr="00CD11DE">
        <w:t>Framework</w:t>
      </w:r>
    </w:p>
    <w:p w14:paraId="1B2F98F4" w14:textId="20B4BD76" w:rsidR="00A32274" w:rsidRPr="00CD11DE" w:rsidRDefault="00A32274" w:rsidP="00A32274"/>
    <w:p w14:paraId="40263714" w14:textId="4DE8A5A0" w:rsidR="003B7D50" w:rsidRPr="00CD11DE" w:rsidRDefault="003B7D50" w:rsidP="003B7D50">
      <w:pPr>
        <w:rPr>
          <w:sz w:val="20"/>
          <w:szCs w:val="20"/>
        </w:rPr>
      </w:pPr>
      <w:r w:rsidRPr="00CD11DE">
        <w:rPr>
          <w:sz w:val="20"/>
          <w:szCs w:val="20"/>
        </w:rPr>
        <w:t xml:space="preserve">The Board has established a governance structure that is commensurate with the Bank’s size, complexity and nature of its activities, comprising the Board and its sub-committees; a (management) executive committee and its sub-committees; and a Sharia Supervisory Committee. These ensure the Bank’s operations are conducted in an effective manner with appropriate challenge and supervision at both management and Board level. </w:t>
      </w:r>
    </w:p>
    <w:p w14:paraId="12CB8BD8" w14:textId="632CF70A" w:rsidR="008B7687" w:rsidRPr="00CD11DE" w:rsidRDefault="003B7D50" w:rsidP="003B7D50">
      <w:pPr>
        <w:rPr>
          <w:sz w:val="20"/>
          <w:szCs w:val="20"/>
        </w:rPr>
      </w:pPr>
      <w:r w:rsidRPr="00CD11DE">
        <w:rPr>
          <w:sz w:val="20"/>
          <w:szCs w:val="20"/>
        </w:rPr>
        <w:t xml:space="preserve">Figure 2 below outlines the Bank’s Corporate Governance structure that ensures appropriate delegation of authority from the Board. </w:t>
      </w:r>
      <w:r w:rsidR="004D16D7" w:rsidRPr="004D16D7">
        <w:rPr>
          <w:sz w:val="20"/>
          <w:szCs w:val="20"/>
        </w:rPr>
        <w:t xml:space="preserve">Each committee is responsible for risk monitoring and oversight within its terms of reference, considering the relevant sub-set of risk appetite and metrics applicable to each </w:t>
      </w:r>
      <w:r w:rsidR="00C20AC1" w:rsidRPr="004D16D7">
        <w:rPr>
          <w:sz w:val="20"/>
          <w:szCs w:val="20"/>
        </w:rPr>
        <w:t>committee.</w:t>
      </w:r>
      <w:r w:rsidRPr="00CD11DE">
        <w:rPr>
          <w:sz w:val="20"/>
          <w:szCs w:val="20"/>
        </w:rPr>
        <w:t xml:space="preserve"> Minutes are also prepared for all key committee meetings.</w:t>
      </w:r>
    </w:p>
    <w:p w14:paraId="217388A8" w14:textId="77777777" w:rsidR="003B7D50" w:rsidRPr="00CD11DE" w:rsidRDefault="003B7D50" w:rsidP="003B7D50">
      <w:pPr>
        <w:rPr>
          <w:sz w:val="20"/>
          <w:szCs w:val="20"/>
        </w:rPr>
      </w:pPr>
    </w:p>
    <w:p w14:paraId="58EA9FBA" w14:textId="77777777" w:rsidR="003B7D50" w:rsidRPr="00CD11DE" w:rsidRDefault="003B7D50" w:rsidP="003B7D50">
      <w:pPr>
        <w:rPr>
          <w:sz w:val="20"/>
          <w:szCs w:val="20"/>
        </w:rPr>
      </w:pPr>
    </w:p>
    <w:p w14:paraId="1EEBDBD2" w14:textId="77777777" w:rsidR="003B7D50" w:rsidRPr="00CD11DE" w:rsidRDefault="003B7D50" w:rsidP="003B7D50">
      <w:pPr>
        <w:rPr>
          <w:sz w:val="20"/>
          <w:szCs w:val="20"/>
        </w:rPr>
      </w:pPr>
    </w:p>
    <w:p w14:paraId="21D98928" w14:textId="77777777" w:rsidR="003B7D50" w:rsidRPr="00CD11DE" w:rsidRDefault="003B7D50" w:rsidP="003B7D50">
      <w:pPr>
        <w:rPr>
          <w:sz w:val="20"/>
          <w:szCs w:val="20"/>
        </w:rPr>
      </w:pPr>
    </w:p>
    <w:p w14:paraId="48A43151" w14:textId="77777777" w:rsidR="003B7D50" w:rsidRPr="00CD11DE" w:rsidRDefault="003B7D50" w:rsidP="003B7D50"/>
    <w:p w14:paraId="6668D263" w14:textId="50D517A1" w:rsidR="008B7687" w:rsidRPr="00CD11DE" w:rsidRDefault="00567AA7" w:rsidP="00F260C3">
      <w:pPr>
        <w:pStyle w:val="Caption"/>
      </w:pPr>
      <w:r w:rsidRPr="00567AA7">
        <w:rPr>
          <w:noProof/>
        </w:rPr>
        <w:lastRenderedPageBreak/>
        <w:drawing>
          <wp:anchor distT="0" distB="0" distL="114300" distR="114300" simplePos="0" relativeHeight="251662340" behindDoc="0" locked="0" layoutInCell="1" allowOverlap="1" wp14:anchorId="12E5C483" wp14:editId="435B09B8">
            <wp:simplePos x="0" y="0"/>
            <wp:positionH relativeFrom="column">
              <wp:posOffset>-114300</wp:posOffset>
            </wp:positionH>
            <wp:positionV relativeFrom="paragraph">
              <wp:posOffset>215900</wp:posOffset>
            </wp:positionV>
            <wp:extent cx="6115685" cy="2847975"/>
            <wp:effectExtent l="0" t="0" r="0" b="9525"/>
            <wp:wrapSquare wrapText="bothSides"/>
            <wp:docPr id="13742593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68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50" w:rsidRPr="00CD11DE">
        <w:t xml:space="preserve">Figure </w:t>
      </w:r>
      <w:r w:rsidR="003B7D50" w:rsidRPr="00CD11DE">
        <w:fldChar w:fldCharType="begin"/>
      </w:r>
      <w:r w:rsidR="003B7D50" w:rsidRPr="00CD11DE">
        <w:instrText xml:space="preserve"> SEQ Figure \* ARABIC </w:instrText>
      </w:r>
      <w:r w:rsidR="003B7D50" w:rsidRPr="00CD11DE">
        <w:fldChar w:fldCharType="separate"/>
      </w:r>
      <w:r w:rsidR="002878FB" w:rsidRPr="00CD11DE">
        <w:rPr>
          <w:noProof/>
        </w:rPr>
        <w:t>2</w:t>
      </w:r>
      <w:r w:rsidR="003B7D50" w:rsidRPr="00CD11DE">
        <w:fldChar w:fldCharType="end"/>
      </w:r>
      <w:r w:rsidR="003B7D50" w:rsidRPr="00CD11DE">
        <w:t>: Al Rayan Bank Corporate Governance Structure</w:t>
      </w:r>
    </w:p>
    <w:p w14:paraId="57165D7F" w14:textId="53F027D6" w:rsidR="003B7D50" w:rsidRPr="00CD11DE" w:rsidRDefault="003B7D50" w:rsidP="00A32274"/>
    <w:p w14:paraId="5C709FF9" w14:textId="77777777" w:rsidR="00641D1B" w:rsidRPr="00C62D72" w:rsidRDefault="00641D1B" w:rsidP="0023179E">
      <w:pPr>
        <w:pStyle w:val="Heading2"/>
        <w:rPr>
          <w:lang w:val="en-GB"/>
        </w:rPr>
      </w:pPr>
      <w:bookmarkStart w:id="66" w:name="_Toc120205993"/>
      <w:bookmarkStart w:id="67" w:name="_Toc201575409"/>
      <w:r w:rsidRPr="00C62D72">
        <w:rPr>
          <w:lang w:val="en-GB"/>
        </w:rPr>
        <w:t>Board of Directors and Board level committees</w:t>
      </w:r>
      <w:bookmarkEnd w:id="66"/>
      <w:bookmarkEnd w:id="67"/>
    </w:p>
    <w:p w14:paraId="67B5F1CA" w14:textId="43BDAC3F" w:rsidR="00641D1B" w:rsidRDefault="00641D1B" w:rsidP="00641D1B">
      <w:pPr>
        <w:spacing w:after="240" w:line="259" w:lineRule="auto"/>
        <w:rPr>
          <w:sz w:val="20"/>
          <w:szCs w:val="20"/>
        </w:rPr>
      </w:pPr>
      <w:r w:rsidRPr="00CD11DE">
        <w:rPr>
          <w:sz w:val="20"/>
          <w:szCs w:val="20"/>
        </w:rPr>
        <w:t xml:space="preserve">The Board has overall accountability to ensure </w:t>
      </w:r>
      <w:r w:rsidR="003B7D50" w:rsidRPr="00CD11DE">
        <w:rPr>
          <w:sz w:val="20"/>
          <w:szCs w:val="20"/>
        </w:rPr>
        <w:t>that the Bank has an appropriate system of risk management in place to ensure risks in the Bank are identified, assessed, controlled / effectively managed, monitored and reported. The Board’s risk governance is supported through a series of sub-committees, or by Management, operating under delegated mandates for the oversight of management of risks within the Bank. The roles of the permanent Board committees are outlined in Figure 3 below:</w:t>
      </w:r>
    </w:p>
    <w:p w14:paraId="6E40EC06" w14:textId="77777777" w:rsidR="00D66317" w:rsidRPr="00D66317" w:rsidRDefault="00D66317" w:rsidP="00C62D72">
      <w:pPr>
        <w:rPr>
          <w:sz w:val="20"/>
          <w:szCs w:val="20"/>
        </w:rPr>
      </w:pPr>
    </w:p>
    <w:p w14:paraId="120E6086" w14:textId="18AC1024" w:rsidR="00D66317" w:rsidRPr="00D66317" w:rsidRDefault="00D66317" w:rsidP="00C62D72">
      <w:pPr>
        <w:rPr>
          <w:sz w:val="20"/>
          <w:szCs w:val="20"/>
        </w:rPr>
      </w:pPr>
    </w:p>
    <w:p w14:paraId="4083D94B" w14:textId="77777777" w:rsidR="00D66317" w:rsidRPr="00D66317" w:rsidRDefault="00D66317" w:rsidP="00C62D72">
      <w:pPr>
        <w:rPr>
          <w:sz w:val="20"/>
          <w:szCs w:val="20"/>
        </w:rPr>
      </w:pPr>
    </w:p>
    <w:p w14:paraId="6DC3A4D7" w14:textId="77777777" w:rsidR="00D66317" w:rsidRPr="00D66317" w:rsidRDefault="00D66317" w:rsidP="00C62D72">
      <w:pPr>
        <w:rPr>
          <w:sz w:val="20"/>
          <w:szCs w:val="20"/>
        </w:rPr>
      </w:pPr>
    </w:p>
    <w:p w14:paraId="29C278D4" w14:textId="77777777" w:rsidR="00D66317" w:rsidRDefault="00D66317" w:rsidP="00D66317">
      <w:pPr>
        <w:rPr>
          <w:sz w:val="20"/>
          <w:szCs w:val="20"/>
        </w:rPr>
      </w:pPr>
    </w:p>
    <w:p w14:paraId="799E9516" w14:textId="77777777" w:rsidR="00D66317" w:rsidRDefault="00D66317" w:rsidP="00D66317">
      <w:pPr>
        <w:rPr>
          <w:sz w:val="20"/>
          <w:szCs w:val="20"/>
        </w:rPr>
      </w:pPr>
    </w:p>
    <w:p w14:paraId="182AC492" w14:textId="004488CA" w:rsidR="00D66317" w:rsidRPr="00C62D72" w:rsidRDefault="00D66317" w:rsidP="00C62D72">
      <w:pPr>
        <w:jc w:val="center"/>
        <w:rPr>
          <w:sz w:val="18"/>
          <w:szCs w:val="18"/>
        </w:rPr>
      </w:pPr>
      <w:r w:rsidRPr="00C62D72">
        <w:rPr>
          <w:b/>
          <w:bCs/>
          <w:sz w:val="20"/>
          <w:szCs w:val="20"/>
        </w:rPr>
        <w:t>[Remainder of page intentionally left blank – Table/Figure shown on next page]</w:t>
      </w:r>
    </w:p>
    <w:p w14:paraId="2320BA43" w14:textId="19F86B6F" w:rsidR="0000514A" w:rsidRPr="00CD11DE" w:rsidRDefault="00567AA7" w:rsidP="00F260C3">
      <w:pPr>
        <w:pStyle w:val="Caption"/>
      </w:pPr>
      <w:r w:rsidRPr="00567AA7">
        <w:rPr>
          <w:noProof/>
        </w:rPr>
        <w:lastRenderedPageBreak/>
        <w:drawing>
          <wp:anchor distT="0" distB="0" distL="114300" distR="114300" simplePos="0" relativeHeight="251661316" behindDoc="0" locked="0" layoutInCell="1" allowOverlap="1" wp14:anchorId="2B213A1E" wp14:editId="52696073">
            <wp:simplePos x="0" y="0"/>
            <wp:positionH relativeFrom="margin">
              <wp:align>center</wp:align>
            </wp:positionH>
            <wp:positionV relativeFrom="paragraph">
              <wp:posOffset>234315</wp:posOffset>
            </wp:positionV>
            <wp:extent cx="6296025" cy="3130550"/>
            <wp:effectExtent l="0" t="0" r="9525" b="0"/>
            <wp:wrapSquare wrapText="bothSides"/>
            <wp:docPr id="8933659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313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14A" w:rsidRPr="00CD11DE">
        <w:t xml:space="preserve">Figure </w:t>
      </w:r>
      <w:r w:rsidR="0000514A" w:rsidRPr="00CD11DE">
        <w:fldChar w:fldCharType="begin"/>
      </w:r>
      <w:r w:rsidR="0000514A" w:rsidRPr="00CD11DE">
        <w:instrText xml:space="preserve"> SEQ Figure \* ARABIC </w:instrText>
      </w:r>
      <w:r w:rsidR="0000514A" w:rsidRPr="00CD11DE">
        <w:fldChar w:fldCharType="separate"/>
      </w:r>
      <w:r w:rsidR="002878FB" w:rsidRPr="00CD11DE">
        <w:rPr>
          <w:noProof/>
        </w:rPr>
        <w:t>3</w:t>
      </w:r>
      <w:r w:rsidR="0000514A" w:rsidRPr="00CD11DE">
        <w:fldChar w:fldCharType="end"/>
      </w:r>
      <w:r w:rsidR="0000514A" w:rsidRPr="00CD11DE">
        <w:t>: Role of the Board and its relationship to key committees</w:t>
      </w:r>
    </w:p>
    <w:p w14:paraId="38D0043B" w14:textId="707DAB89" w:rsidR="00615E6C" w:rsidRPr="00CD11DE" w:rsidRDefault="00615E6C" w:rsidP="00641D1B">
      <w:pPr>
        <w:spacing w:after="240"/>
        <w:rPr>
          <w:i/>
          <w:iCs/>
          <w:color w:val="000000" w:themeColor="text2"/>
          <w:sz w:val="20"/>
          <w:szCs w:val="20"/>
        </w:rPr>
      </w:pPr>
    </w:p>
    <w:p w14:paraId="69A50A40" w14:textId="084B4D22" w:rsidR="00641D1B" w:rsidRPr="00C62D72" w:rsidRDefault="00641D1B" w:rsidP="0023179E">
      <w:pPr>
        <w:pStyle w:val="Heading2"/>
        <w:rPr>
          <w:lang w:val="en-GB"/>
        </w:rPr>
      </w:pPr>
      <w:bookmarkStart w:id="68" w:name="_Toc120205994"/>
      <w:bookmarkStart w:id="69" w:name="_Toc201575410"/>
      <w:bookmarkStart w:id="70" w:name="_Hlk118795078"/>
      <w:r w:rsidRPr="00C62D72">
        <w:rPr>
          <w:lang w:val="en-GB"/>
        </w:rPr>
        <w:t>Executive/Management level committees</w:t>
      </w:r>
      <w:bookmarkEnd w:id="68"/>
      <w:bookmarkEnd w:id="69"/>
      <w:r w:rsidRPr="00C62D72">
        <w:rPr>
          <w:lang w:val="en-GB"/>
        </w:rPr>
        <w:t xml:space="preserve"> </w:t>
      </w:r>
    </w:p>
    <w:p w14:paraId="7B8717E2" w14:textId="4D0C78C4" w:rsidR="00641D1B" w:rsidRPr="00CD11DE" w:rsidRDefault="00641D1B" w:rsidP="00641D1B">
      <w:pPr>
        <w:spacing w:after="120"/>
        <w:rPr>
          <w:b/>
          <w:sz w:val="20"/>
          <w:szCs w:val="20"/>
        </w:rPr>
      </w:pPr>
      <w:r w:rsidRPr="00CD11DE">
        <w:rPr>
          <w:b/>
          <w:sz w:val="20"/>
          <w:szCs w:val="20"/>
        </w:rPr>
        <w:t xml:space="preserve">Executive Committee (‘ExCo’) </w:t>
      </w:r>
    </w:p>
    <w:p w14:paraId="08AC22C1" w14:textId="703B11E9" w:rsidR="00641D1B" w:rsidRPr="00CD11DE" w:rsidRDefault="000E282C" w:rsidP="00641D1B">
      <w:pPr>
        <w:spacing w:after="240" w:line="259" w:lineRule="auto"/>
        <w:rPr>
          <w:sz w:val="20"/>
          <w:szCs w:val="20"/>
        </w:rPr>
      </w:pPr>
      <w:r w:rsidRPr="00CD11DE">
        <w:rPr>
          <w:sz w:val="20"/>
          <w:szCs w:val="20"/>
        </w:rPr>
        <w:t>The ExCo is the Chief Executive Officer’s (CEO) forum for major operational decisions and is responsible for assisting the CEO in the performance of their duties, including</w:t>
      </w:r>
      <w:r w:rsidR="00641D1B" w:rsidRPr="00CD11DE">
        <w:rPr>
          <w:sz w:val="20"/>
          <w:szCs w:val="20"/>
        </w:rPr>
        <w:t xml:space="preserve">:  </w:t>
      </w:r>
    </w:p>
    <w:p w14:paraId="7A390993" w14:textId="20B33709" w:rsidR="00D02343" w:rsidRPr="00CD11DE" w:rsidRDefault="00D02343" w:rsidP="009262C5">
      <w:pPr>
        <w:pStyle w:val="ListParagraph"/>
        <w:numPr>
          <w:ilvl w:val="0"/>
          <w:numId w:val="14"/>
        </w:numPr>
      </w:pPr>
      <w:r w:rsidRPr="00CD11DE">
        <w:t>The development, implementation and execution of strategy, the strategic plan, risk appetite, operational plans, policies, procedures and budgets for consideration by the Board</w:t>
      </w:r>
    </w:p>
    <w:p w14:paraId="69C95FC4" w14:textId="77777777" w:rsidR="00641D1B" w:rsidRPr="00CD11DE" w:rsidRDefault="00641D1B" w:rsidP="009262C5">
      <w:pPr>
        <w:pStyle w:val="ListParagraph"/>
        <w:numPr>
          <w:ilvl w:val="0"/>
          <w:numId w:val="14"/>
        </w:numPr>
      </w:pPr>
      <w:r w:rsidRPr="00CD11DE">
        <w:t xml:space="preserve">The monitoring of operating and financial performance  </w:t>
      </w:r>
    </w:p>
    <w:p w14:paraId="6D6BD0DF" w14:textId="6AEB8EEE" w:rsidR="00641D1B" w:rsidRPr="00CD11DE" w:rsidRDefault="00641D1B" w:rsidP="009262C5">
      <w:pPr>
        <w:pStyle w:val="ListParagraph"/>
        <w:numPr>
          <w:ilvl w:val="0"/>
          <w:numId w:val="14"/>
        </w:numPr>
      </w:pPr>
      <w:r w:rsidRPr="00CD11DE">
        <w:t xml:space="preserve">The assessment and control of risk </w:t>
      </w:r>
    </w:p>
    <w:p w14:paraId="5C38DFB7" w14:textId="77777777" w:rsidR="00641D1B" w:rsidRPr="00CD11DE" w:rsidRDefault="00641D1B" w:rsidP="009262C5">
      <w:pPr>
        <w:pStyle w:val="ListParagraph"/>
        <w:numPr>
          <w:ilvl w:val="0"/>
          <w:numId w:val="14"/>
        </w:numPr>
      </w:pPr>
      <w:r w:rsidRPr="00CD11DE">
        <w:t xml:space="preserve">The prioritisation and allocation of resources; and  </w:t>
      </w:r>
    </w:p>
    <w:p w14:paraId="02D04CE7" w14:textId="4DFC111A" w:rsidR="00D02343" w:rsidRPr="00CD11DE" w:rsidRDefault="00641D1B" w:rsidP="009262C5">
      <w:pPr>
        <w:pStyle w:val="ListParagraph"/>
        <w:numPr>
          <w:ilvl w:val="0"/>
          <w:numId w:val="14"/>
        </w:numPr>
      </w:pPr>
      <w:r w:rsidRPr="00CD11DE">
        <w:t xml:space="preserve">The monitoring of competitive forces in each area of operation. </w:t>
      </w:r>
    </w:p>
    <w:p w14:paraId="3A20982F" w14:textId="77777777" w:rsidR="00641D1B" w:rsidRPr="00CD11DE" w:rsidRDefault="00641D1B" w:rsidP="00641D1B">
      <w:pPr>
        <w:spacing w:after="120"/>
        <w:rPr>
          <w:b/>
          <w:sz w:val="20"/>
          <w:szCs w:val="20"/>
        </w:rPr>
      </w:pPr>
      <w:r w:rsidRPr="00CD11DE">
        <w:rPr>
          <w:b/>
          <w:sz w:val="20"/>
          <w:szCs w:val="20"/>
        </w:rPr>
        <w:t xml:space="preserve">Assets &amp; Liabilities Committee (‘ALCO’)  </w:t>
      </w:r>
    </w:p>
    <w:p w14:paraId="4DB61279" w14:textId="558720CF" w:rsidR="00D02343" w:rsidRPr="00CD11DE" w:rsidRDefault="00D02343" w:rsidP="00D02343">
      <w:pPr>
        <w:spacing w:after="120"/>
        <w:rPr>
          <w:sz w:val="20"/>
          <w:szCs w:val="20"/>
        </w:rPr>
      </w:pPr>
      <w:r w:rsidRPr="00CD11DE">
        <w:rPr>
          <w:sz w:val="20"/>
          <w:szCs w:val="20"/>
        </w:rPr>
        <w:t>The ALCO is a management committee that is primarily responsible for monitoring market, capital and liquidity and funding risks. This includes monitoring risks associated with profit rates in the banking book, open foreign exchange positions, the composition of assets and liabilities, funding mismatches, capital adequacy, liquidity, wholesale credit risk, the results of liquidity stress tests, and the approval of new products. It is chaired by the C</w:t>
      </w:r>
      <w:r w:rsidR="004D16D7">
        <w:rPr>
          <w:sz w:val="20"/>
          <w:szCs w:val="20"/>
        </w:rPr>
        <w:t>S</w:t>
      </w:r>
      <w:r w:rsidRPr="00CD11DE">
        <w:rPr>
          <w:sz w:val="20"/>
          <w:szCs w:val="20"/>
        </w:rPr>
        <w:t>FO and is also responsible for the ongoing development and maintenance of the I</w:t>
      </w:r>
      <w:r w:rsidR="004D16D7">
        <w:rPr>
          <w:sz w:val="20"/>
          <w:szCs w:val="20"/>
        </w:rPr>
        <w:t>L</w:t>
      </w:r>
      <w:r w:rsidRPr="00CD11DE">
        <w:rPr>
          <w:sz w:val="20"/>
          <w:szCs w:val="20"/>
        </w:rPr>
        <w:t xml:space="preserve">AAP, and through ExCo its annual submission to the Board. To be quorate, the ALCO meeting must have representative present from the second line of defence. This is either the CRO, or </w:t>
      </w:r>
      <w:r w:rsidR="004D16D7">
        <w:rPr>
          <w:sz w:val="20"/>
          <w:szCs w:val="20"/>
        </w:rPr>
        <w:t>Senior Prudential Risk Manager</w:t>
      </w:r>
      <w:r w:rsidR="004D16D7" w:rsidRPr="00CD11DE">
        <w:rPr>
          <w:sz w:val="20"/>
          <w:szCs w:val="20"/>
        </w:rPr>
        <w:t xml:space="preserve"> </w:t>
      </w:r>
      <w:r w:rsidRPr="00CD11DE">
        <w:rPr>
          <w:sz w:val="20"/>
          <w:szCs w:val="20"/>
        </w:rPr>
        <w:t>as delegate.</w:t>
      </w:r>
    </w:p>
    <w:p w14:paraId="0282D09F" w14:textId="28E3128E" w:rsidR="00D02343" w:rsidRDefault="00D02343" w:rsidP="00D02343">
      <w:pPr>
        <w:spacing w:after="240" w:line="259" w:lineRule="auto"/>
        <w:rPr>
          <w:sz w:val="20"/>
          <w:szCs w:val="20"/>
        </w:rPr>
      </w:pPr>
      <w:r w:rsidRPr="00CD11DE">
        <w:rPr>
          <w:sz w:val="20"/>
          <w:szCs w:val="20"/>
        </w:rPr>
        <w:t xml:space="preserve">Two further sub-management committees also report to the ALCO, which are the Profit Allocation Committee and the Product Pricing &amp; Development Group. </w:t>
      </w:r>
    </w:p>
    <w:p w14:paraId="386462AA" w14:textId="77777777" w:rsidR="00867B92" w:rsidRDefault="00867B92" w:rsidP="00D02343">
      <w:pPr>
        <w:spacing w:after="240" w:line="259" w:lineRule="auto"/>
        <w:rPr>
          <w:sz w:val="20"/>
          <w:szCs w:val="20"/>
        </w:rPr>
      </w:pPr>
    </w:p>
    <w:p w14:paraId="4CD65270" w14:textId="77777777" w:rsidR="00867B92" w:rsidRPr="00CD11DE" w:rsidRDefault="00867B92" w:rsidP="00D02343">
      <w:pPr>
        <w:spacing w:after="240" w:line="259" w:lineRule="auto"/>
        <w:rPr>
          <w:sz w:val="20"/>
          <w:szCs w:val="20"/>
        </w:rPr>
      </w:pPr>
    </w:p>
    <w:p w14:paraId="5E53C7EF" w14:textId="77777777" w:rsidR="00641D1B" w:rsidRPr="00CD11DE" w:rsidRDefault="00641D1B" w:rsidP="00641D1B">
      <w:pPr>
        <w:spacing w:after="120"/>
        <w:rPr>
          <w:b/>
          <w:sz w:val="20"/>
          <w:szCs w:val="20"/>
        </w:rPr>
      </w:pPr>
      <w:r w:rsidRPr="00CD11DE">
        <w:rPr>
          <w:b/>
          <w:sz w:val="20"/>
          <w:szCs w:val="20"/>
        </w:rPr>
        <w:lastRenderedPageBreak/>
        <w:t>Executive Risk Committee (‘ERC’)</w:t>
      </w:r>
    </w:p>
    <w:p w14:paraId="173B0481" w14:textId="581A376C" w:rsidR="00641D1B" w:rsidRPr="00CD11DE" w:rsidRDefault="00641D1B" w:rsidP="00641D1B">
      <w:pPr>
        <w:spacing w:after="240" w:line="259" w:lineRule="auto"/>
        <w:rPr>
          <w:sz w:val="20"/>
          <w:szCs w:val="20"/>
        </w:rPr>
      </w:pPr>
      <w:r w:rsidRPr="00CD11DE">
        <w:rPr>
          <w:sz w:val="20"/>
          <w:szCs w:val="20"/>
        </w:rPr>
        <w:t xml:space="preserve">The ERC is the principal 2nd Line risk oversight committee and is chaired by the CRO. It has full authority to act on all material and / or enterprise-wide risk and control matters across the Bank. ERC provides executive input on risk management issues to the Board, BRC and ExCo, including recommendations on risk appetite, policies and risk management strategies. </w:t>
      </w:r>
      <w:r w:rsidR="00D02343" w:rsidRPr="00CD11DE">
        <w:rPr>
          <w:sz w:val="20"/>
          <w:szCs w:val="20"/>
        </w:rPr>
        <w:t xml:space="preserve">It is also the principal risk monitoring forum for </w:t>
      </w:r>
      <w:r w:rsidR="004D16D7" w:rsidRPr="00CD11DE">
        <w:rPr>
          <w:sz w:val="20"/>
          <w:szCs w:val="20"/>
        </w:rPr>
        <w:t>all</w:t>
      </w:r>
      <w:r w:rsidR="00D02343" w:rsidRPr="00CD11DE">
        <w:rPr>
          <w:sz w:val="20"/>
          <w:szCs w:val="20"/>
        </w:rPr>
        <w:t xml:space="preserve"> the Bank’s primary risks.</w:t>
      </w:r>
      <w:r w:rsidR="004D16D7" w:rsidRPr="004D16D7">
        <w:t xml:space="preserve"> </w:t>
      </w:r>
      <w:r w:rsidR="004D16D7" w:rsidRPr="004D16D7">
        <w:rPr>
          <w:sz w:val="20"/>
          <w:szCs w:val="20"/>
        </w:rPr>
        <w:t xml:space="preserve">The ERC is also responsible for the ongoing development and maintenance of the ICAAP and its annual submission to the Board.  </w:t>
      </w:r>
    </w:p>
    <w:p w14:paraId="4E288FE5" w14:textId="75CEC7CA" w:rsidR="00641D1B" w:rsidRPr="00CD11DE" w:rsidRDefault="00641D1B" w:rsidP="00641D1B">
      <w:pPr>
        <w:spacing w:after="120"/>
        <w:rPr>
          <w:b/>
          <w:sz w:val="20"/>
          <w:szCs w:val="20"/>
        </w:rPr>
      </w:pPr>
      <w:r w:rsidRPr="00CD11DE">
        <w:rPr>
          <w:b/>
          <w:sz w:val="20"/>
          <w:szCs w:val="20"/>
        </w:rPr>
        <w:t>Credit</w:t>
      </w:r>
      <w:r w:rsidR="00D02343" w:rsidRPr="00CD11DE">
        <w:rPr>
          <w:b/>
          <w:sz w:val="20"/>
          <w:szCs w:val="20"/>
        </w:rPr>
        <w:t xml:space="preserve"> Sanctioning</w:t>
      </w:r>
      <w:r w:rsidRPr="00CD11DE">
        <w:rPr>
          <w:b/>
          <w:sz w:val="20"/>
          <w:szCs w:val="20"/>
        </w:rPr>
        <w:t xml:space="preserve"> Committee (‘C</w:t>
      </w:r>
      <w:r w:rsidR="00D02343" w:rsidRPr="00CD11DE">
        <w:rPr>
          <w:b/>
          <w:sz w:val="20"/>
          <w:szCs w:val="20"/>
        </w:rPr>
        <w:t>S</w:t>
      </w:r>
      <w:r w:rsidRPr="00CD11DE">
        <w:rPr>
          <w:b/>
          <w:sz w:val="20"/>
          <w:szCs w:val="20"/>
        </w:rPr>
        <w:t>C’)</w:t>
      </w:r>
    </w:p>
    <w:p w14:paraId="78B4A410" w14:textId="719E9592" w:rsidR="001050F3" w:rsidRPr="00CD11DE" w:rsidRDefault="00D02343" w:rsidP="00641D1B">
      <w:pPr>
        <w:spacing w:after="240" w:line="259" w:lineRule="auto"/>
        <w:rPr>
          <w:sz w:val="20"/>
          <w:szCs w:val="20"/>
        </w:rPr>
      </w:pPr>
      <w:r w:rsidRPr="00CD11DE">
        <w:rPr>
          <w:sz w:val="20"/>
          <w:szCs w:val="20"/>
        </w:rPr>
        <w:t>The CSC is a sub-committee of ExCo, chaired by the CEO. The principal purpose of the CSC is to review and opine on applications for Property Finance facilit</w:t>
      </w:r>
      <w:r w:rsidR="00064BD3">
        <w:rPr>
          <w:sz w:val="20"/>
          <w:szCs w:val="20"/>
        </w:rPr>
        <w:t>ies</w:t>
      </w:r>
      <w:r w:rsidRPr="00CD11DE">
        <w:rPr>
          <w:sz w:val="20"/>
          <w:szCs w:val="20"/>
        </w:rPr>
        <w:t xml:space="preserve"> </w:t>
      </w:r>
      <w:r w:rsidR="00064BD3">
        <w:rPr>
          <w:sz w:val="20"/>
          <w:szCs w:val="20"/>
        </w:rPr>
        <w:t xml:space="preserve">and Treasury country and counterparty </w:t>
      </w:r>
      <w:r w:rsidRPr="00CD11DE">
        <w:rPr>
          <w:sz w:val="20"/>
          <w:szCs w:val="20"/>
        </w:rPr>
        <w:t xml:space="preserve">requests presented by </w:t>
      </w:r>
      <w:r w:rsidR="00A279F6">
        <w:rPr>
          <w:sz w:val="20"/>
          <w:szCs w:val="20"/>
        </w:rPr>
        <w:t xml:space="preserve">relevant </w:t>
      </w:r>
      <w:r w:rsidR="00064BD3">
        <w:rPr>
          <w:sz w:val="20"/>
          <w:szCs w:val="20"/>
        </w:rPr>
        <w:t>business areas</w:t>
      </w:r>
      <w:r w:rsidRPr="00CD11DE">
        <w:rPr>
          <w:sz w:val="20"/>
          <w:szCs w:val="20"/>
        </w:rPr>
        <w:t>, in accordance with the discretionary limits set by the Board.</w:t>
      </w:r>
    </w:p>
    <w:p w14:paraId="31BC87B3" w14:textId="77777777" w:rsidR="001050F3" w:rsidRPr="00CD11DE" w:rsidRDefault="001050F3" w:rsidP="001050F3">
      <w:pPr>
        <w:spacing w:before="240" w:after="120"/>
        <w:rPr>
          <w:b/>
          <w:sz w:val="20"/>
          <w:szCs w:val="20"/>
        </w:rPr>
      </w:pPr>
      <w:r w:rsidRPr="00CD11DE">
        <w:rPr>
          <w:b/>
          <w:sz w:val="20"/>
          <w:szCs w:val="20"/>
        </w:rPr>
        <w:t>Credit Risk Committee (‘CRC’)</w:t>
      </w:r>
    </w:p>
    <w:p w14:paraId="23DA2EEE" w14:textId="3CE32BDB" w:rsidR="000E282C" w:rsidRPr="00CD11DE" w:rsidRDefault="001050F3" w:rsidP="00641D1B">
      <w:pPr>
        <w:spacing w:after="240" w:line="259" w:lineRule="auto"/>
        <w:rPr>
          <w:sz w:val="20"/>
          <w:szCs w:val="20"/>
        </w:rPr>
      </w:pPr>
      <w:r w:rsidRPr="00CD11DE">
        <w:rPr>
          <w:sz w:val="20"/>
          <w:szCs w:val="20"/>
        </w:rPr>
        <w:t>The CRC is a sub-committee of ERC, chaired by the CRO. The principal purpose of the CRC is to review appropriate management information, policies and papers as required relating to credit risk across the Bank, including those related to Expected Credit Loss (‘ECL’) in line with IFRS9 requirements.</w:t>
      </w:r>
    </w:p>
    <w:p w14:paraId="7D1D5DA4" w14:textId="77777777" w:rsidR="00641D1B" w:rsidRPr="00CD11DE" w:rsidRDefault="00641D1B" w:rsidP="00641D1B">
      <w:pPr>
        <w:spacing w:after="120"/>
        <w:rPr>
          <w:b/>
          <w:sz w:val="20"/>
          <w:szCs w:val="20"/>
        </w:rPr>
      </w:pPr>
      <w:r w:rsidRPr="00CD11DE">
        <w:rPr>
          <w:b/>
          <w:sz w:val="20"/>
          <w:szCs w:val="20"/>
        </w:rPr>
        <w:t>Legal &amp; Regulatory Compliance Committee (‘LRCC’)</w:t>
      </w:r>
    </w:p>
    <w:p w14:paraId="24BE6203" w14:textId="4322D908" w:rsidR="00A40FFE" w:rsidRPr="00CD11DE" w:rsidRDefault="00A40FFE" w:rsidP="00641D1B">
      <w:pPr>
        <w:spacing w:after="240" w:line="259" w:lineRule="auto"/>
        <w:rPr>
          <w:sz w:val="20"/>
          <w:szCs w:val="20"/>
        </w:rPr>
      </w:pPr>
      <w:r w:rsidRPr="00CD11DE">
        <w:rPr>
          <w:sz w:val="20"/>
          <w:szCs w:val="20"/>
        </w:rPr>
        <w:t>The LRCC is a sub-committee of ERC and is chaired by the Head of Compliance. Its primary purpose is to provide summarised upwards reporting to the ERC on relevant legal, regulatory and compliance risks and/or recommendations for approval, including as a minimum: management information, new and emerging risks, horizon scanning, policies, compliance monitoring reports, regulatory interactions, Consumer Duty related management information, mandatory regulatory reporting, and changes to the management responsibilities map and SMCR developments.</w:t>
      </w:r>
    </w:p>
    <w:p w14:paraId="59C4661B" w14:textId="77777777" w:rsidR="00641D1B" w:rsidRPr="00CD11DE" w:rsidRDefault="00641D1B" w:rsidP="00641D1B">
      <w:pPr>
        <w:spacing w:after="120"/>
        <w:rPr>
          <w:b/>
          <w:sz w:val="20"/>
          <w:szCs w:val="20"/>
        </w:rPr>
      </w:pPr>
      <w:r w:rsidRPr="00CD11DE">
        <w:rPr>
          <w:b/>
          <w:sz w:val="20"/>
          <w:szCs w:val="20"/>
        </w:rPr>
        <w:t>Operational Risk Committee (‘ORC’)</w:t>
      </w:r>
    </w:p>
    <w:p w14:paraId="38FFB28B" w14:textId="02ED5341" w:rsidR="00A40FFE" w:rsidRPr="00CD11DE" w:rsidRDefault="00A40FFE" w:rsidP="00641D1B">
      <w:pPr>
        <w:spacing w:after="240" w:line="259" w:lineRule="auto"/>
        <w:rPr>
          <w:sz w:val="20"/>
          <w:szCs w:val="20"/>
        </w:rPr>
      </w:pPr>
      <w:r w:rsidRPr="00CD11DE">
        <w:rPr>
          <w:sz w:val="20"/>
          <w:szCs w:val="20"/>
        </w:rPr>
        <w:t xml:space="preserve">The ORC is a sub-committee of the ERC and is chaired by the Head of </w:t>
      </w:r>
      <w:r w:rsidR="00C015B2">
        <w:rPr>
          <w:sz w:val="20"/>
          <w:szCs w:val="20"/>
        </w:rPr>
        <w:t xml:space="preserve">Enterprise &amp; Operational </w:t>
      </w:r>
      <w:r w:rsidRPr="00CD11DE">
        <w:rPr>
          <w:sz w:val="20"/>
          <w:szCs w:val="20"/>
        </w:rPr>
        <w:t>Risk or their delegate. Its primary purpose is to provide summarised input to the ERC on relevant operational risk and/or recommendations for approval, including as a minimum: risk appetite – significant breaches of supporting metrics, Risk and Controls Self-Assessment (‘RCSA’) output, business incident reporting, development of the Operational Risk Plan and oversight of other in-scope risk types.</w:t>
      </w:r>
    </w:p>
    <w:p w14:paraId="0A6F2EF3" w14:textId="77777777" w:rsidR="00641D1B" w:rsidRPr="00CD11DE" w:rsidRDefault="00641D1B" w:rsidP="00A40FFE">
      <w:pPr>
        <w:spacing w:after="240" w:line="259" w:lineRule="auto"/>
        <w:rPr>
          <w:b/>
          <w:sz w:val="20"/>
          <w:szCs w:val="20"/>
        </w:rPr>
      </w:pPr>
      <w:r w:rsidRPr="00CD11DE">
        <w:rPr>
          <w:b/>
          <w:sz w:val="20"/>
          <w:szCs w:val="20"/>
        </w:rPr>
        <w:t xml:space="preserve">Change and Projects Committee (‘CPC’) </w:t>
      </w:r>
    </w:p>
    <w:p w14:paraId="7D9AA928" w14:textId="77777777" w:rsidR="00867B92" w:rsidRDefault="00A40FFE" w:rsidP="000E282C">
      <w:pPr>
        <w:spacing w:after="240" w:line="259" w:lineRule="auto"/>
        <w:rPr>
          <w:sz w:val="20"/>
          <w:szCs w:val="20"/>
        </w:rPr>
      </w:pPr>
      <w:r w:rsidRPr="00CD11DE">
        <w:rPr>
          <w:sz w:val="20"/>
          <w:szCs w:val="20"/>
        </w:rPr>
        <w:t>The CPC is a sub-committee of ExCo and is chaired by the Chief Operating Officer (‘COO’). The Committee is responsible for the initial authorisation, ongoing oversight and decision making on all significant projects within the Bank. It also monitors the Bank’s overall project delivery plan, ensuring sufficient resources are allocated to each project and provides oversight on financial and risk management of projects. The Committee is also responsible for reviewing and maintaining oversight, monitoring and assessing performance against the transformation plan and managing all change activity within the bank. Accountability for projects rests with the Executive sponsor of each project.</w:t>
      </w:r>
    </w:p>
    <w:p w14:paraId="1A739EC1" w14:textId="77777777" w:rsidR="00867B92" w:rsidRDefault="00867B92" w:rsidP="000E282C">
      <w:pPr>
        <w:spacing w:after="240" w:line="259" w:lineRule="auto"/>
        <w:rPr>
          <w:sz w:val="20"/>
          <w:szCs w:val="20"/>
        </w:rPr>
      </w:pPr>
    </w:p>
    <w:p w14:paraId="1C0B96DC" w14:textId="77777777" w:rsidR="00867B92" w:rsidRDefault="00867B92" w:rsidP="000E282C">
      <w:pPr>
        <w:spacing w:after="240" w:line="259" w:lineRule="auto"/>
        <w:rPr>
          <w:sz w:val="20"/>
          <w:szCs w:val="20"/>
        </w:rPr>
      </w:pPr>
    </w:p>
    <w:p w14:paraId="0F823FA8" w14:textId="0DE818C9" w:rsidR="00A40FFE" w:rsidRPr="00CD11DE" w:rsidRDefault="00A40FFE" w:rsidP="000E282C">
      <w:pPr>
        <w:spacing w:after="240" w:line="259" w:lineRule="auto"/>
        <w:rPr>
          <w:sz w:val="20"/>
          <w:szCs w:val="20"/>
        </w:rPr>
      </w:pPr>
      <w:r w:rsidRPr="00CD11DE">
        <w:rPr>
          <w:sz w:val="20"/>
          <w:szCs w:val="20"/>
        </w:rPr>
        <w:t xml:space="preserve"> </w:t>
      </w:r>
      <w:bookmarkStart w:id="71" w:name="_Hlk4412244"/>
      <w:bookmarkEnd w:id="65"/>
      <w:bookmarkEnd w:id="70"/>
    </w:p>
    <w:p w14:paraId="580857DF" w14:textId="572870ED" w:rsidR="00134992" w:rsidRPr="00CD11DE" w:rsidRDefault="00134992" w:rsidP="505614FD">
      <w:pPr>
        <w:spacing w:after="240" w:line="259" w:lineRule="auto"/>
        <w:rPr>
          <w:b/>
          <w:bCs/>
          <w:sz w:val="20"/>
          <w:szCs w:val="20"/>
        </w:rPr>
      </w:pPr>
      <w:r w:rsidRPr="505614FD">
        <w:rPr>
          <w:b/>
          <w:bCs/>
          <w:sz w:val="20"/>
          <w:szCs w:val="20"/>
        </w:rPr>
        <w:lastRenderedPageBreak/>
        <w:t>Environment, Social and Governance Committee (‘ESGC’)</w:t>
      </w:r>
    </w:p>
    <w:p w14:paraId="2016B7B8" w14:textId="3C3A0FFF" w:rsidR="00134992" w:rsidRPr="00CD11DE" w:rsidRDefault="00E0340D" w:rsidP="00134992">
      <w:pPr>
        <w:spacing w:after="240" w:line="259" w:lineRule="auto"/>
        <w:rPr>
          <w:sz w:val="20"/>
          <w:szCs w:val="20"/>
        </w:rPr>
      </w:pPr>
      <w:r w:rsidRPr="00CD11DE">
        <w:rPr>
          <w:sz w:val="20"/>
          <w:szCs w:val="20"/>
        </w:rPr>
        <w:t>The Environmental, Social and Governance Committee (‘ESGC’) is a sub-committee of ExCo and is chaired by the Chief People &amp; Sustainability Officer (‘CPSO’). Its primary purpose is to oversee the Bank’s approach to integrating environmental, social, and governance practices into its business strategy and operations, and its impact and sustainability. The ESGC is the Bank’s principal forum for developing core ESG objectives and metrics to ensure appropriate monitoring and reporting to all key stakeholders and at appropriate governance forums including the Board or Board sub-committees as appropriate. The committee monitors and assesses current and emerging ESG trends, relevant national standards and legislative requirements; and identifies how these are likely to impact on the strategy, operations, and reputation of the Bank; and determine whether and how these are incorporated into or reflected in the Bank’s ESG policies and objectives.</w:t>
      </w:r>
    </w:p>
    <w:p w14:paraId="203536B5" w14:textId="1A84705F" w:rsidR="00641D1B" w:rsidRPr="00C62D72" w:rsidRDefault="00641D1B" w:rsidP="00285B0B">
      <w:pPr>
        <w:pStyle w:val="Heading1"/>
        <w:rPr>
          <w:rFonts w:ascii="Arial" w:hAnsi="Arial"/>
          <w:lang w:val="en-GB"/>
        </w:rPr>
      </w:pPr>
      <w:bookmarkStart w:id="72" w:name="_Ref57833829"/>
      <w:bookmarkStart w:id="73" w:name="_Toc94026144"/>
      <w:bookmarkStart w:id="74" w:name="_Toc120205996"/>
      <w:bookmarkStart w:id="75" w:name="_Toc201575411"/>
      <w:bookmarkStart w:id="76" w:name="_Toc492021092"/>
      <w:r w:rsidRPr="00C62D72">
        <w:rPr>
          <w:rFonts w:ascii="Arial" w:hAnsi="Arial"/>
          <w:lang w:val="en-GB"/>
        </w:rPr>
        <w:t>Risk Management Framework</w:t>
      </w:r>
      <w:bookmarkEnd w:id="72"/>
      <w:bookmarkEnd w:id="73"/>
      <w:bookmarkEnd w:id="74"/>
      <w:bookmarkEnd w:id="75"/>
      <w:r w:rsidRPr="00C62D72">
        <w:rPr>
          <w:rFonts w:ascii="Arial" w:hAnsi="Arial"/>
          <w:lang w:val="en-GB"/>
        </w:rPr>
        <w:t xml:space="preserve"> </w:t>
      </w:r>
    </w:p>
    <w:p w14:paraId="6592CAFD" w14:textId="33F49FF2" w:rsidR="005E1B26" w:rsidRPr="00CD11DE" w:rsidRDefault="005E1B26" w:rsidP="005E1B26">
      <w:pPr>
        <w:spacing w:after="240" w:line="259" w:lineRule="auto"/>
        <w:rPr>
          <w:sz w:val="20"/>
          <w:szCs w:val="20"/>
        </w:rPr>
      </w:pPr>
      <w:bookmarkStart w:id="77" w:name="_Risk_strategy_and"/>
      <w:bookmarkEnd w:id="77"/>
      <w:r w:rsidRPr="00CD11DE">
        <w:rPr>
          <w:sz w:val="20"/>
          <w:szCs w:val="20"/>
        </w:rPr>
        <w:t>The Bank’s Risk Management Framework (RMF) as illustrated in Figure 4 below, outlines the Bank's approach to identifying, assessing, controlling / effectively managing, monitoring and reporting risks the Bank is, or might be exposed to, and provide adequate internal control mechanisms that are consistent with, and promote, sound and effective risk management. The purpose of the RMF is to provide an effective, consistent and transparent approach to managing risks across the Bank. The RMF is supported by a more in-depth suite of policies that detail how risks are controlled and effectively managed across the bank on a more granular basis.</w:t>
      </w:r>
    </w:p>
    <w:p w14:paraId="4B8237F5" w14:textId="77777777" w:rsidR="005E1B26" w:rsidRPr="00CD11DE" w:rsidRDefault="005E1B26" w:rsidP="005E1B26">
      <w:pPr>
        <w:spacing w:after="240" w:line="259" w:lineRule="auto"/>
        <w:rPr>
          <w:sz w:val="20"/>
          <w:szCs w:val="20"/>
        </w:rPr>
      </w:pPr>
      <w:r w:rsidRPr="00CD11DE">
        <w:rPr>
          <w:sz w:val="20"/>
          <w:szCs w:val="20"/>
        </w:rPr>
        <w:t>Sound risk management supports the business strategy and enables the bank to minimise losses (both financial and reputational), provide a fair and appropriate service to its customers and deliver returns for shareholders in a Sharia compliant manner.</w:t>
      </w:r>
    </w:p>
    <w:p w14:paraId="5DA988FF" w14:textId="77777777" w:rsidR="005E1B26" w:rsidRPr="00CD11DE" w:rsidRDefault="005E1B26" w:rsidP="005E1B26">
      <w:pPr>
        <w:spacing w:after="240" w:line="259" w:lineRule="auto"/>
        <w:rPr>
          <w:sz w:val="20"/>
          <w:szCs w:val="20"/>
        </w:rPr>
      </w:pPr>
      <w:r w:rsidRPr="00CD11DE">
        <w:rPr>
          <w:sz w:val="20"/>
          <w:szCs w:val="20"/>
        </w:rPr>
        <w:t>The Bank’s approach to risk management supports and complements its overall strategic aims, but also seeks to add value through challenge and independent oversight of business activities. Through the deployment of a robust RMF, the Bank aims to deliver the following risk objectives:</w:t>
      </w:r>
    </w:p>
    <w:p w14:paraId="4BF9740E" w14:textId="77777777" w:rsidR="005E1B26" w:rsidRPr="00CD11DE" w:rsidRDefault="005E1B26" w:rsidP="009262C5">
      <w:pPr>
        <w:pStyle w:val="ListParagraph"/>
        <w:numPr>
          <w:ilvl w:val="0"/>
          <w:numId w:val="10"/>
        </w:numPr>
      </w:pPr>
      <w:r w:rsidRPr="00CD11DE">
        <w:t>Support the establishment of a strong, empowered risk management culture, together with risk management and control arrangements embedded throughout the Bank.</w:t>
      </w:r>
    </w:p>
    <w:p w14:paraId="3BE6199F" w14:textId="77777777" w:rsidR="005E1B26" w:rsidRPr="00CD11DE" w:rsidRDefault="005E1B26" w:rsidP="009262C5">
      <w:pPr>
        <w:pStyle w:val="ListParagraph"/>
        <w:numPr>
          <w:ilvl w:val="0"/>
          <w:numId w:val="10"/>
        </w:numPr>
      </w:pPr>
      <w:r w:rsidRPr="00CD11DE">
        <w:t>Promote a risk aware culture across the Bank, driving an environment where individuals take responsibility and ownership for both risk and high standards of customer conduct.</w:t>
      </w:r>
    </w:p>
    <w:p w14:paraId="0571CF1E" w14:textId="77777777" w:rsidR="005E1B26" w:rsidRPr="00CD11DE" w:rsidRDefault="005E1B26" w:rsidP="009262C5">
      <w:pPr>
        <w:pStyle w:val="ListParagraph"/>
        <w:numPr>
          <w:ilvl w:val="0"/>
          <w:numId w:val="10"/>
        </w:numPr>
      </w:pPr>
      <w:r w:rsidRPr="00CD11DE">
        <w:t>Ensure all risks are identified, assessed, controlled / effectively managed, monitored, and reported through appropriate governance, with clear accountability and responsibility for risk management across the Bank.</w:t>
      </w:r>
    </w:p>
    <w:p w14:paraId="29BC2A00" w14:textId="77777777" w:rsidR="005E1B26" w:rsidRPr="00CD11DE" w:rsidRDefault="005E1B26" w:rsidP="009262C5">
      <w:pPr>
        <w:pStyle w:val="ListParagraph"/>
        <w:numPr>
          <w:ilvl w:val="0"/>
          <w:numId w:val="10"/>
        </w:numPr>
      </w:pPr>
      <w:r w:rsidRPr="00CD11DE">
        <w:t>Maintain positive stakeholder confidence and reputation with customers, colleagues, shareholders, the Sharia Supervisory Committee, rating agencies and regulators.</w:t>
      </w:r>
    </w:p>
    <w:p w14:paraId="6A64B857" w14:textId="6C451FD5" w:rsidR="005E1B26" w:rsidRPr="00CD11DE" w:rsidRDefault="005E1B26" w:rsidP="009262C5">
      <w:pPr>
        <w:pStyle w:val="ListParagraph"/>
        <w:numPr>
          <w:ilvl w:val="0"/>
          <w:numId w:val="10"/>
        </w:numPr>
      </w:pPr>
      <w:r w:rsidRPr="00CD11DE">
        <w:t xml:space="preserve">Ensure sustainability and ongoing viability through continuing capital and liquidity strengths, </w:t>
      </w:r>
      <w:r w:rsidR="00C20AC1" w:rsidRPr="00CD11DE">
        <w:t>and operational</w:t>
      </w:r>
      <w:r w:rsidRPr="00CD11DE">
        <w:t xml:space="preserve"> stability and resilience, including that of third party providers.</w:t>
      </w:r>
    </w:p>
    <w:p w14:paraId="1150CCC9" w14:textId="17799E85" w:rsidR="00BE7217" w:rsidRPr="00CD11DE" w:rsidRDefault="005E1B26" w:rsidP="00641D1B">
      <w:pPr>
        <w:spacing w:after="240" w:line="259" w:lineRule="auto"/>
        <w:rPr>
          <w:sz w:val="20"/>
          <w:szCs w:val="20"/>
        </w:rPr>
      </w:pPr>
      <w:r w:rsidRPr="00CD11DE">
        <w:rPr>
          <w:sz w:val="20"/>
          <w:szCs w:val="20"/>
        </w:rPr>
        <w:t>The adoption of, and compliance with, the RMF evidences the Bank’s ongoing focus on embedding effective risk management and emphasises the Board’s commitment to incorporating the management of risk into everyday thinking, behaviours, processes and business practices. The responsibility for ensuring effective implementation and monitoring of the RMF compliance lies with the Bank’s CRO, overseen by the management level ERC.</w:t>
      </w:r>
    </w:p>
    <w:p w14:paraId="47FB7B9E" w14:textId="6BDCF20E" w:rsidR="00641D1B" w:rsidRPr="00CD11DE" w:rsidRDefault="00461979" w:rsidP="00641D1B">
      <w:pPr>
        <w:rPr>
          <w:b/>
          <w:bCs/>
        </w:rPr>
      </w:pPr>
      <w:r w:rsidRPr="00461979">
        <w:rPr>
          <w:b/>
          <w:bCs/>
          <w:noProof/>
          <w:color w:val="auto"/>
          <w:sz w:val="20"/>
          <w:szCs w:val="20"/>
        </w:rPr>
        <w:lastRenderedPageBreak/>
        <w:drawing>
          <wp:anchor distT="0" distB="0" distL="114300" distR="114300" simplePos="0" relativeHeight="251659268" behindDoc="0" locked="0" layoutInCell="1" allowOverlap="1" wp14:anchorId="52F27807" wp14:editId="7E7679F8">
            <wp:simplePos x="0" y="0"/>
            <wp:positionH relativeFrom="margin">
              <wp:align>right</wp:align>
            </wp:positionH>
            <wp:positionV relativeFrom="paragraph">
              <wp:posOffset>723900</wp:posOffset>
            </wp:positionV>
            <wp:extent cx="5738495" cy="4232910"/>
            <wp:effectExtent l="0" t="0" r="0" b="0"/>
            <wp:wrapSquare wrapText="bothSides"/>
            <wp:docPr id="1463270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8495" cy="4232910"/>
                    </a:xfrm>
                    <a:prstGeom prst="rect">
                      <a:avLst/>
                    </a:prstGeom>
                    <a:noFill/>
                    <a:ln>
                      <a:noFill/>
                    </a:ln>
                  </pic:spPr>
                </pic:pic>
              </a:graphicData>
            </a:graphic>
          </wp:anchor>
        </w:drawing>
      </w:r>
      <w:r w:rsidR="00F260C3" w:rsidRPr="00CD11DE">
        <w:rPr>
          <w:noProof/>
        </w:rPr>
        <mc:AlternateContent>
          <mc:Choice Requires="wps">
            <w:drawing>
              <wp:anchor distT="0" distB="0" distL="114300" distR="114300" simplePos="0" relativeHeight="251658240" behindDoc="0" locked="0" layoutInCell="1" allowOverlap="1" wp14:anchorId="7103B154" wp14:editId="3ECBEBCF">
                <wp:simplePos x="0" y="0"/>
                <wp:positionH relativeFrom="column">
                  <wp:posOffset>-135189</wp:posOffset>
                </wp:positionH>
                <wp:positionV relativeFrom="paragraph">
                  <wp:posOffset>284803</wp:posOffset>
                </wp:positionV>
                <wp:extent cx="5219700" cy="457200"/>
                <wp:effectExtent l="0" t="2540" r="0" b="0"/>
                <wp:wrapTight wrapText="bothSides">
                  <wp:wrapPolygon edited="0">
                    <wp:start x="-39" y="0"/>
                    <wp:lineTo x="-39" y="21150"/>
                    <wp:lineTo x="21600" y="21150"/>
                    <wp:lineTo x="21600" y="0"/>
                    <wp:lineTo x="-39" y="0"/>
                  </wp:wrapPolygon>
                </wp:wrapTight>
                <wp:docPr id="719018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6C812" w14:textId="5005091E" w:rsidR="0000514A" w:rsidRPr="00EB4816" w:rsidRDefault="0000514A" w:rsidP="00F260C3">
                            <w:pPr>
                              <w:pStyle w:val="Caption"/>
                              <w:rPr>
                                <w:noProof/>
                              </w:rPr>
                            </w:pPr>
                            <w:r>
                              <w:t xml:space="preserve">Figure </w:t>
                            </w:r>
                            <w:r>
                              <w:fldChar w:fldCharType="begin"/>
                            </w:r>
                            <w:r>
                              <w:instrText xml:space="preserve"> SEQ Figure \* ARABIC </w:instrText>
                            </w:r>
                            <w:r>
                              <w:fldChar w:fldCharType="separate"/>
                            </w:r>
                            <w:r w:rsidR="002878FB">
                              <w:rPr>
                                <w:noProof/>
                              </w:rPr>
                              <w:t>4</w:t>
                            </w:r>
                            <w:r>
                              <w:fldChar w:fldCharType="end"/>
                            </w:r>
                            <w:r>
                              <w:t xml:space="preserve">: </w:t>
                            </w:r>
                            <w:r w:rsidRPr="00A4736E">
                              <w:t>The Bank’s RMF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3B154" id="_x0000_t202" coordsize="21600,21600" o:spt="202" path="m,l,21600r21600,l21600,xe">
                <v:stroke joinstyle="miter"/>
                <v:path gradientshapeok="t" o:connecttype="rect"/>
              </v:shapetype>
              <v:shape id="Text Box 2" o:spid="_x0000_s1026" type="#_x0000_t202" style="position:absolute;left:0;text-align:left;margin-left:-10.65pt;margin-top:22.45pt;width:41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" stroked="f">
                <v:textbox inset="0,0,0,0">
                  <w:txbxContent>
                    <w:p w14:paraId="35B6C812" w14:textId="5005091E" w:rsidR="0000514A" w:rsidRPr="00EB4816" w:rsidRDefault="0000514A" w:rsidP="00F260C3">
                      <w:pPr>
                        <w:pStyle w:val="Caption"/>
                        <w:rPr>
                          <w:noProof/>
                        </w:rPr>
                      </w:pPr>
                      <w:r>
                        <w:t xml:space="preserve">Figure </w:t>
                      </w:r>
                      <w:r>
                        <w:fldChar w:fldCharType="begin"/>
                      </w:r>
                      <w:r>
                        <w:instrText xml:space="preserve"> SEQ Figure \* ARABIC </w:instrText>
                      </w:r>
                      <w:r>
                        <w:fldChar w:fldCharType="separate"/>
                      </w:r>
                      <w:r w:rsidR="002878FB">
                        <w:rPr>
                          <w:noProof/>
                        </w:rPr>
                        <w:t>4</w:t>
                      </w:r>
                      <w:r>
                        <w:fldChar w:fldCharType="end"/>
                      </w:r>
                      <w:r>
                        <w:t xml:space="preserve">: </w:t>
                      </w:r>
                      <w:r w:rsidRPr="00A4736E">
                        <w:t>The Bank’s RMF</w:t>
                      </w:r>
                    </w:p>
                  </w:txbxContent>
                </v:textbox>
                <w10:wrap type="tight"/>
              </v:shape>
            </w:pict>
          </mc:Fallback>
        </mc:AlternateContent>
      </w:r>
      <w:r w:rsidR="00641D1B" w:rsidRPr="00CD11DE">
        <w:rPr>
          <w:sz w:val="20"/>
          <w:szCs w:val="20"/>
        </w:rPr>
        <w:t xml:space="preserve">The figure </w:t>
      </w:r>
      <w:r w:rsidR="005E1B26" w:rsidRPr="00CD11DE">
        <w:rPr>
          <w:sz w:val="20"/>
          <w:szCs w:val="20"/>
        </w:rPr>
        <w:t>4</w:t>
      </w:r>
      <w:r w:rsidR="00641D1B" w:rsidRPr="00CD11DE">
        <w:rPr>
          <w:sz w:val="20"/>
          <w:szCs w:val="20"/>
        </w:rPr>
        <w:t xml:space="preserve"> below articulates the Bank’s RMF, which is described in more detail in the RMF document.</w:t>
      </w:r>
    </w:p>
    <w:p w14:paraId="6780FB76" w14:textId="35DEC412" w:rsidR="002610EE" w:rsidRPr="00C62D72" w:rsidRDefault="009F0AFC" w:rsidP="0023179E">
      <w:pPr>
        <w:pStyle w:val="Heading2"/>
        <w:rPr>
          <w:lang w:val="en-GB"/>
        </w:rPr>
      </w:pPr>
      <w:bookmarkStart w:id="78" w:name="_Toc168322069"/>
      <w:bookmarkStart w:id="79" w:name="_Toc168322208"/>
      <w:bookmarkStart w:id="80" w:name="_Toc168322347"/>
      <w:bookmarkStart w:id="81" w:name="_Toc168330676"/>
      <w:bookmarkStart w:id="82" w:name="_Toc168331479"/>
      <w:bookmarkStart w:id="83" w:name="_Toc168331618"/>
      <w:bookmarkStart w:id="84" w:name="_Toc168322070"/>
      <w:bookmarkStart w:id="85" w:name="_Toc168322209"/>
      <w:bookmarkStart w:id="86" w:name="_Toc168322348"/>
      <w:bookmarkStart w:id="87" w:name="_Toc168330677"/>
      <w:bookmarkStart w:id="88" w:name="_Toc168331480"/>
      <w:bookmarkStart w:id="89" w:name="_Toc168331619"/>
      <w:bookmarkStart w:id="90" w:name="_Toc168322071"/>
      <w:bookmarkStart w:id="91" w:name="_Toc168322210"/>
      <w:bookmarkStart w:id="92" w:name="_Toc168322349"/>
      <w:bookmarkStart w:id="93" w:name="_Toc168330678"/>
      <w:bookmarkStart w:id="94" w:name="_Toc168331481"/>
      <w:bookmarkStart w:id="95" w:name="_Toc168331620"/>
      <w:bookmarkStart w:id="96" w:name="_Toc168322072"/>
      <w:bookmarkStart w:id="97" w:name="_Toc168322211"/>
      <w:bookmarkStart w:id="98" w:name="_Toc168322350"/>
      <w:bookmarkStart w:id="99" w:name="_Toc168330679"/>
      <w:bookmarkStart w:id="100" w:name="_Toc168331482"/>
      <w:bookmarkStart w:id="101" w:name="_Toc168331621"/>
      <w:bookmarkStart w:id="102" w:name="_Toc168322073"/>
      <w:bookmarkStart w:id="103" w:name="_Toc168322212"/>
      <w:bookmarkStart w:id="104" w:name="_Toc168322351"/>
      <w:bookmarkStart w:id="105" w:name="_Toc168330680"/>
      <w:bookmarkStart w:id="106" w:name="_Toc168331483"/>
      <w:bookmarkStart w:id="107" w:name="_Toc168331622"/>
      <w:bookmarkStart w:id="108" w:name="_Toc168322074"/>
      <w:bookmarkStart w:id="109" w:name="_Toc168322213"/>
      <w:bookmarkStart w:id="110" w:name="_Toc168322352"/>
      <w:bookmarkStart w:id="111" w:name="_Toc168330681"/>
      <w:bookmarkStart w:id="112" w:name="_Toc168331484"/>
      <w:bookmarkStart w:id="113" w:name="_Toc168331623"/>
      <w:bookmarkStart w:id="114" w:name="_Toc168322075"/>
      <w:bookmarkStart w:id="115" w:name="_Toc168322214"/>
      <w:bookmarkStart w:id="116" w:name="_Toc168322353"/>
      <w:bookmarkStart w:id="117" w:name="_Toc168330682"/>
      <w:bookmarkStart w:id="118" w:name="_Toc168331485"/>
      <w:bookmarkStart w:id="119" w:name="_Toc168331624"/>
      <w:bookmarkStart w:id="120" w:name="_Toc168322076"/>
      <w:bookmarkStart w:id="121" w:name="_Toc168322215"/>
      <w:bookmarkStart w:id="122" w:name="_Toc168322354"/>
      <w:bookmarkStart w:id="123" w:name="_Toc168330683"/>
      <w:bookmarkStart w:id="124" w:name="_Toc168331486"/>
      <w:bookmarkStart w:id="125" w:name="_Toc168331625"/>
      <w:bookmarkStart w:id="126" w:name="_Toc137136794"/>
      <w:bookmarkStart w:id="127" w:name="_Toc137136795"/>
      <w:bookmarkStart w:id="128" w:name="_Toc137136796"/>
      <w:bookmarkStart w:id="129" w:name="_Toc137136797"/>
      <w:bookmarkStart w:id="130" w:name="_Toc137136798"/>
      <w:bookmarkStart w:id="131" w:name="_Toc137136799"/>
      <w:bookmarkStart w:id="132" w:name="_Toc492021106"/>
      <w:bookmarkEnd w:id="71"/>
      <w:bookmarkEnd w:id="7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62D72">
        <w:rPr>
          <w:lang w:val="en-GB"/>
        </w:rPr>
        <w:tab/>
      </w:r>
      <w:bookmarkStart w:id="133" w:name="_Toc120205997"/>
      <w:bookmarkStart w:id="134" w:name="_Toc201575412"/>
      <w:bookmarkStart w:id="135" w:name="_Ref55832562"/>
      <w:r w:rsidR="002610EE" w:rsidRPr="00C62D72">
        <w:rPr>
          <w:lang w:val="en-GB"/>
        </w:rPr>
        <w:t>Primary Risks</w:t>
      </w:r>
      <w:bookmarkEnd w:id="133"/>
      <w:bookmarkEnd w:id="134"/>
    </w:p>
    <w:p w14:paraId="30AB4E33" w14:textId="300FF140" w:rsidR="008B31BA" w:rsidRPr="00CD11DE" w:rsidRDefault="008B31BA" w:rsidP="00D36AD0">
      <w:pPr>
        <w:rPr>
          <w:sz w:val="20"/>
          <w:szCs w:val="20"/>
        </w:rPr>
      </w:pPr>
      <w:r w:rsidRPr="00CD11DE">
        <w:rPr>
          <w:sz w:val="20"/>
          <w:szCs w:val="20"/>
        </w:rPr>
        <w:t>The main tool of risk classification is the Bank’s risk taxonomy, whereby the Bank defines (at a high level) the primary types of risk that the Bank is exposed to. This supports the clear allocation of ownership of risk, and provides structure to risk reporting across the Bank. The Bank has categorised risks into thirteen Primary Risk Types supported by dedicated risk management policy documents. Figure 5 below outlines the Bank’s Primary Risk Types and associated descriptions for each.</w:t>
      </w:r>
    </w:p>
    <w:p w14:paraId="48873FF9" w14:textId="16FB8F34" w:rsidR="0000514A" w:rsidRPr="00CD11DE" w:rsidRDefault="0000514A" w:rsidP="008B31BA">
      <w:pPr>
        <w:rPr>
          <w:b/>
          <w:bCs/>
          <w:sz w:val="20"/>
          <w:szCs w:val="20"/>
        </w:rPr>
      </w:pPr>
      <w:r w:rsidRPr="00CD11DE">
        <w:rPr>
          <w:b/>
          <w:bCs/>
          <w:sz w:val="20"/>
          <w:szCs w:val="20"/>
        </w:rPr>
        <w:t xml:space="preserve">Figure </w:t>
      </w:r>
      <w:r w:rsidRPr="00CD11DE">
        <w:rPr>
          <w:b/>
          <w:bCs/>
          <w:sz w:val="20"/>
          <w:szCs w:val="20"/>
        </w:rPr>
        <w:fldChar w:fldCharType="begin"/>
      </w:r>
      <w:r w:rsidRPr="00CD11DE">
        <w:rPr>
          <w:b/>
          <w:bCs/>
          <w:sz w:val="20"/>
          <w:szCs w:val="20"/>
        </w:rPr>
        <w:instrText xml:space="preserve"> SEQ Figure \* ARABIC </w:instrText>
      </w:r>
      <w:r w:rsidRPr="00CD11DE">
        <w:rPr>
          <w:b/>
          <w:bCs/>
          <w:sz w:val="20"/>
          <w:szCs w:val="20"/>
        </w:rPr>
        <w:fldChar w:fldCharType="separate"/>
      </w:r>
      <w:r w:rsidR="002878FB" w:rsidRPr="00CD11DE">
        <w:rPr>
          <w:b/>
          <w:bCs/>
          <w:noProof/>
          <w:sz w:val="20"/>
          <w:szCs w:val="20"/>
        </w:rPr>
        <w:t>5</w:t>
      </w:r>
      <w:r w:rsidRPr="00CD11DE">
        <w:rPr>
          <w:b/>
          <w:bCs/>
          <w:sz w:val="20"/>
          <w:szCs w:val="20"/>
        </w:rPr>
        <w:fldChar w:fldCharType="end"/>
      </w:r>
      <w:r w:rsidRPr="00CD11DE">
        <w:rPr>
          <w:b/>
          <w:bCs/>
          <w:sz w:val="20"/>
          <w:szCs w:val="20"/>
        </w:rPr>
        <w:t>: Primary risk types within the RMF</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4"/>
        <w:gridCol w:w="1564"/>
        <w:gridCol w:w="6663"/>
      </w:tblGrid>
      <w:tr w:rsidR="002610EE" w:rsidRPr="00CD11DE" w14:paraId="7A1EDCA4" w14:textId="77777777" w:rsidTr="006F3279">
        <w:trPr>
          <w:tblHeader/>
        </w:trPr>
        <w:tc>
          <w:tcPr>
            <w:tcW w:w="2268" w:type="dxa"/>
            <w:gridSpan w:val="2"/>
            <w:shd w:val="clear" w:color="auto" w:fill="0076A5" w:themeFill="accent2"/>
            <w:tcMar>
              <w:top w:w="74" w:type="dxa"/>
              <w:left w:w="146" w:type="dxa"/>
              <w:bottom w:w="74" w:type="dxa"/>
              <w:right w:w="146" w:type="dxa"/>
            </w:tcMar>
            <w:vAlign w:val="bottom"/>
            <w:hideMark/>
          </w:tcPr>
          <w:p w14:paraId="520129BF" w14:textId="77777777" w:rsidR="002610EE" w:rsidRPr="006F3279" w:rsidRDefault="002610EE" w:rsidP="005B4BB8">
            <w:pPr>
              <w:rPr>
                <w:b/>
                <w:bCs/>
                <w:color w:val="FFFFFF" w:themeColor="background1"/>
                <w:sz w:val="20"/>
                <w:szCs w:val="20"/>
              </w:rPr>
            </w:pPr>
            <w:r w:rsidRPr="006F3279">
              <w:rPr>
                <w:b/>
                <w:bCs/>
                <w:color w:val="FFFFFF" w:themeColor="background1"/>
                <w:sz w:val="20"/>
                <w:szCs w:val="20"/>
              </w:rPr>
              <w:t>Primary risk type</w:t>
            </w:r>
          </w:p>
        </w:tc>
        <w:tc>
          <w:tcPr>
            <w:tcW w:w="6663" w:type="dxa"/>
            <w:shd w:val="clear" w:color="auto" w:fill="0076A5" w:themeFill="accent2"/>
            <w:tcMar>
              <w:top w:w="74" w:type="dxa"/>
              <w:left w:w="146" w:type="dxa"/>
              <w:bottom w:w="74" w:type="dxa"/>
              <w:right w:w="146" w:type="dxa"/>
            </w:tcMar>
            <w:vAlign w:val="bottom"/>
            <w:hideMark/>
          </w:tcPr>
          <w:p w14:paraId="11AB77C8" w14:textId="77777777" w:rsidR="002610EE" w:rsidRPr="006F3279" w:rsidRDefault="002610EE" w:rsidP="005B4BB8">
            <w:pPr>
              <w:rPr>
                <w:b/>
                <w:bCs/>
                <w:color w:val="FFFFFF" w:themeColor="background1"/>
                <w:sz w:val="20"/>
                <w:szCs w:val="20"/>
              </w:rPr>
            </w:pPr>
            <w:r w:rsidRPr="006F3279">
              <w:rPr>
                <w:b/>
                <w:bCs/>
                <w:color w:val="FFFFFF" w:themeColor="background1"/>
                <w:sz w:val="20"/>
                <w:szCs w:val="20"/>
              </w:rPr>
              <w:t>Description</w:t>
            </w:r>
          </w:p>
        </w:tc>
      </w:tr>
      <w:tr w:rsidR="0027744C" w:rsidRPr="00CD11DE" w14:paraId="2464BB94" w14:textId="77777777" w:rsidTr="006F3279">
        <w:tc>
          <w:tcPr>
            <w:tcW w:w="704" w:type="dxa"/>
            <w:shd w:val="clear" w:color="auto" w:fill="06B1D6" w:themeFill="accent1"/>
            <w:tcMar>
              <w:top w:w="74" w:type="dxa"/>
              <w:left w:w="146" w:type="dxa"/>
              <w:bottom w:w="74" w:type="dxa"/>
              <w:right w:w="146" w:type="dxa"/>
            </w:tcMar>
            <w:hideMark/>
          </w:tcPr>
          <w:p w14:paraId="0D036722" w14:textId="163EF235" w:rsidR="0027744C" w:rsidRPr="00CD11DE" w:rsidRDefault="0027744C" w:rsidP="0027744C">
            <w:pPr>
              <w:jc w:val="left"/>
              <w:rPr>
                <w:sz w:val="20"/>
                <w:szCs w:val="20"/>
              </w:rPr>
            </w:pPr>
            <w:r>
              <w:rPr>
                <w:b/>
                <w:bCs/>
                <w:sz w:val="18"/>
                <w:szCs w:val="18"/>
              </w:rPr>
              <w:t xml:space="preserve">1. </w:t>
            </w:r>
          </w:p>
        </w:tc>
        <w:tc>
          <w:tcPr>
            <w:tcW w:w="1564" w:type="dxa"/>
            <w:shd w:val="clear" w:color="auto" w:fill="06B1D6" w:themeFill="accent1"/>
            <w:tcMar>
              <w:top w:w="74" w:type="dxa"/>
              <w:left w:w="146" w:type="dxa"/>
              <w:bottom w:w="74" w:type="dxa"/>
              <w:right w:w="146" w:type="dxa"/>
            </w:tcMar>
            <w:hideMark/>
          </w:tcPr>
          <w:p w14:paraId="56983806" w14:textId="023E54C7" w:rsidR="0027744C" w:rsidRPr="00CD11DE" w:rsidRDefault="0027744C" w:rsidP="0027744C">
            <w:pPr>
              <w:jc w:val="left"/>
              <w:rPr>
                <w:sz w:val="20"/>
                <w:szCs w:val="20"/>
              </w:rPr>
            </w:pPr>
            <w:r>
              <w:rPr>
                <w:b/>
                <w:bCs/>
                <w:sz w:val="18"/>
                <w:szCs w:val="18"/>
              </w:rPr>
              <w:t xml:space="preserve">Strategic &amp; Business Model Risk </w:t>
            </w:r>
          </w:p>
        </w:tc>
        <w:tc>
          <w:tcPr>
            <w:tcW w:w="6663" w:type="dxa"/>
            <w:shd w:val="clear" w:color="auto" w:fill="06B1D6" w:themeFill="accent1"/>
            <w:tcMar>
              <w:top w:w="74" w:type="dxa"/>
              <w:left w:w="146" w:type="dxa"/>
              <w:bottom w:w="74" w:type="dxa"/>
              <w:right w:w="146" w:type="dxa"/>
            </w:tcMar>
            <w:hideMark/>
          </w:tcPr>
          <w:p w14:paraId="28AA329F" w14:textId="2C4717B5" w:rsidR="0027744C" w:rsidRPr="00CD11DE" w:rsidRDefault="0027744C" w:rsidP="0027744C">
            <w:pPr>
              <w:rPr>
                <w:sz w:val="20"/>
                <w:szCs w:val="20"/>
              </w:rPr>
            </w:pPr>
            <w:r>
              <w:rPr>
                <w:b/>
                <w:bCs/>
                <w:sz w:val="18"/>
                <w:szCs w:val="18"/>
              </w:rPr>
              <w:t xml:space="preserve">Failure to define, deliver, or execute the Bank’s strategic goals and objectives, or that result in impacts to the Bank’s business model viability. </w:t>
            </w:r>
          </w:p>
        </w:tc>
      </w:tr>
      <w:tr w:rsidR="0027744C" w:rsidRPr="00CD11DE" w14:paraId="6AACA56B" w14:textId="77777777" w:rsidTr="006F3279">
        <w:tc>
          <w:tcPr>
            <w:tcW w:w="704" w:type="dxa"/>
            <w:shd w:val="clear" w:color="auto" w:fill="06B1D6" w:themeFill="accent1"/>
            <w:tcMar>
              <w:top w:w="74" w:type="dxa"/>
              <w:left w:w="146" w:type="dxa"/>
              <w:bottom w:w="74" w:type="dxa"/>
              <w:right w:w="146" w:type="dxa"/>
            </w:tcMar>
            <w:hideMark/>
          </w:tcPr>
          <w:p w14:paraId="477CF0FC" w14:textId="3E654430" w:rsidR="0027744C" w:rsidRPr="00CD11DE" w:rsidRDefault="0027744C" w:rsidP="0027744C">
            <w:pPr>
              <w:jc w:val="left"/>
              <w:rPr>
                <w:sz w:val="20"/>
                <w:szCs w:val="20"/>
              </w:rPr>
            </w:pPr>
            <w:r>
              <w:rPr>
                <w:b/>
                <w:bCs/>
                <w:sz w:val="18"/>
                <w:szCs w:val="18"/>
              </w:rPr>
              <w:t xml:space="preserve">2. </w:t>
            </w:r>
          </w:p>
        </w:tc>
        <w:tc>
          <w:tcPr>
            <w:tcW w:w="1564" w:type="dxa"/>
            <w:shd w:val="clear" w:color="auto" w:fill="06B1D6" w:themeFill="accent1"/>
            <w:tcMar>
              <w:top w:w="74" w:type="dxa"/>
              <w:left w:w="146" w:type="dxa"/>
              <w:bottom w:w="74" w:type="dxa"/>
              <w:right w:w="146" w:type="dxa"/>
            </w:tcMar>
            <w:hideMark/>
          </w:tcPr>
          <w:p w14:paraId="1F35D3AF" w14:textId="4DF5B037" w:rsidR="0027744C" w:rsidRPr="00CD11DE" w:rsidRDefault="0027744C" w:rsidP="0027744C">
            <w:pPr>
              <w:jc w:val="left"/>
              <w:rPr>
                <w:sz w:val="20"/>
                <w:szCs w:val="20"/>
              </w:rPr>
            </w:pPr>
            <w:r>
              <w:rPr>
                <w:b/>
                <w:bCs/>
                <w:sz w:val="18"/>
                <w:szCs w:val="18"/>
              </w:rPr>
              <w:t xml:space="preserve">Capital Risk </w:t>
            </w:r>
          </w:p>
        </w:tc>
        <w:tc>
          <w:tcPr>
            <w:tcW w:w="6663" w:type="dxa"/>
            <w:shd w:val="clear" w:color="auto" w:fill="06B1D6" w:themeFill="accent1"/>
            <w:tcMar>
              <w:top w:w="74" w:type="dxa"/>
              <w:left w:w="146" w:type="dxa"/>
              <w:bottom w:w="74" w:type="dxa"/>
              <w:right w:w="146" w:type="dxa"/>
            </w:tcMar>
            <w:hideMark/>
          </w:tcPr>
          <w:p w14:paraId="6F0695C5" w14:textId="7DAF0298" w:rsidR="0027744C" w:rsidRPr="00CD11DE" w:rsidRDefault="0027744C" w:rsidP="0027744C">
            <w:pPr>
              <w:rPr>
                <w:sz w:val="20"/>
                <w:szCs w:val="20"/>
              </w:rPr>
            </w:pPr>
            <w:r>
              <w:rPr>
                <w:b/>
                <w:bCs/>
                <w:sz w:val="18"/>
                <w:szCs w:val="18"/>
              </w:rPr>
              <w:t xml:space="preserve">Sub-optimal quantity and quality of capital, or a breach of regulatory capital requirements. </w:t>
            </w:r>
          </w:p>
        </w:tc>
      </w:tr>
      <w:tr w:rsidR="0027744C" w:rsidRPr="00CD11DE" w14:paraId="6D7EE417" w14:textId="77777777" w:rsidTr="006F3279">
        <w:tc>
          <w:tcPr>
            <w:tcW w:w="704" w:type="dxa"/>
            <w:shd w:val="clear" w:color="auto" w:fill="06B1D6" w:themeFill="accent1"/>
            <w:tcMar>
              <w:top w:w="74" w:type="dxa"/>
              <w:left w:w="146" w:type="dxa"/>
              <w:bottom w:w="74" w:type="dxa"/>
              <w:right w:w="146" w:type="dxa"/>
            </w:tcMar>
            <w:hideMark/>
          </w:tcPr>
          <w:p w14:paraId="7C52E7A3" w14:textId="3E03773B" w:rsidR="0027744C" w:rsidRPr="00CD11DE" w:rsidRDefault="0027744C" w:rsidP="0027744C">
            <w:pPr>
              <w:jc w:val="left"/>
              <w:rPr>
                <w:sz w:val="20"/>
                <w:szCs w:val="20"/>
              </w:rPr>
            </w:pPr>
            <w:r>
              <w:rPr>
                <w:b/>
                <w:bCs/>
                <w:sz w:val="18"/>
                <w:szCs w:val="18"/>
              </w:rPr>
              <w:lastRenderedPageBreak/>
              <w:t xml:space="preserve">3. </w:t>
            </w:r>
          </w:p>
        </w:tc>
        <w:tc>
          <w:tcPr>
            <w:tcW w:w="1564" w:type="dxa"/>
            <w:shd w:val="clear" w:color="auto" w:fill="06B1D6" w:themeFill="accent1"/>
            <w:tcMar>
              <w:top w:w="74" w:type="dxa"/>
              <w:left w:w="146" w:type="dxa"/>
              <w:bottom w:w="74" w:type="dxa"/>
              <w:right w:w="146" w:type="dxa"/>
            </w:tcMar>
            <w:hideMark/>
          </w:tcPr>
          <w:p w14:paraId="138D5C64" w14:textId="2601EF92" w:rsidR="0027744C" w:rsidRPr="00CD11DE" w:rsidRDefault="0027744C" w:rsidP="0027744C">
            <w:pPr>
              <w:jc w:val="left"/>
              <w:rPr>
                <w:sz w:val="20"/>
                <w:szCs w:val="20"/>
              </w:rPr>
            </w:pPr>
            <w:r>
              <w:rPr>
                <w:b/>
                <w:bCs/>
                <w:sz w:val="18"/>
                <w:szCs w:val="18"/>
              </w:rPr>
              <w:t xml:space="preserve">Liquidity &amp; Funding Risk </w:t>
            </w:r>
          </w:p>
        </w:tc>
        <w:tc>
          <w:tcPr>
            <w:tcW w:w="6663" w:type="dxa"/>
            <w:shd w:val="clear" w:color="auto" w:fill="06B1D6" w:themeFill="accent1"/>
            <w:tcMar>
              <w:top w:w="74" w:type="dxa"/>
              <w:left w:w="146" w:type="dxa"/>
              <w:bottom w:w="74" w:type="dxa"/>
              <w:right w:w="146" w:type="dxa"/>
            </w:tcMar>
            <w:hideMark/>
          </w:tcPr>
          <w:p w14:paraId="311E2BB1" w14:textId="331AF106" w:rsidR="0027744C" w:rsidRPr="00CD11DE" w:rsidRDefault="0027744C" w:rsidP="0027744C">
            <w:pPr>
              <w:rPr>
                <w:sz w:val="20"/>
                <w:szCs w:val="20"/>
              </w:rPr>
            </w:pPr>
            <w:r>
              <w:rPr>
                <w:b/>
                <w:bCs/>
                <w:sz w:val="18"/>
                <w:szCs w:val="18"/>
              </w:rPr>
              <w:t xml:space="preserve">Inability to meet liquidity obligations as they become due, from an unstable funding profile or from a lack of availability of funds. </w:t>
            </w:r>
          </w:p>
        </w:tc>
      </w:tr>
      <w:tr w:rsidR="0027744C" w:rsidRPr="00CD11DE" w14:paraId="09A0CCC6" w14:textId="77777777" w:rsidTr="006F3279">
        <w:tc>
          <w:tcPr>
            <w:tcW w:w="704" w:type="dxa"/>
            <w:shd w:val="clear" w:color="auto" w:fill="06B1D6" w:themeFill="accent1"/>
            <w:tcMar>
              <w:top w:w="74" w:type="dxa"/>
              <w:left w:w="146" w:type="dxa"/>
              <w:bottom w:w="74" w:type="dxa"/>
              <w:right w:w="146" w:type="dxa"/>
            </w:tcMar>
            <w:hideMark/>
          </w:tcPr>
          <w:p w14:paraId="38012870" w14:textId="2B9D51E4" w:rsidR="0027744C" w:rsidRPr="00CD11DE" w:rsidRDefault="0027744C" w:rsidP="0027744C">
            <w:pPr>
              <w:jc w:val="left"/>
              <w:rPr>
                <w:sz w:val="20"/>
                <w:szCs w:val="20"/>
              </w:rPr>
            </w:pPr>
            <w:r>
              <w:rPr>
                <w:b/>
                <w:bCs/>
                <w:sz w:val="18"/>
                <w:szCs w:val="18"/>
              </w:rPr>
              <w:t xml:space="preserve">4. </w:t>
            </w:r>
          </w:p>
        </w:tc>
        <w:tc>
          <w:tcPr>
            <w:tcW w:w="1564" w:type="dxa"/>
            <w:shd w:val="clear" w:color="auto" w:fill="06B1D6" w:themeFill="accent1"/>
            <w:tcMar>
              <w:top w:w="74" w:type="dxa"/>
              <w:left w:w="146" w:type="dxa"/>
              <w:bottom w:w="74" w:type="dxa"/>
              <w:right w:w="146" w:type="dxa"/>
            </w:tcMar>
            <w:hideMark/>
          </w:tcPr>
          <w:p w14:paraId="1F7921B0" w14:textId="4D5B6215" w:rsidR="0027744C" w:rsidRPr="00CD11DE" w:rsidRDefault="0027744C" w:rsidP="0027744C">
            <w:pPr>
              <w:jc w:val="left"/>
              <w:rPr>
                <w:sz w:val="20"/>
                <w:szCs w:val="20"/>
              </w:rPr>
            </w:pPr>
            <w:r>
              <w:rPr>
                <w:b/>
                <w:bCs/>
                <w:sz w:val="18"/>
                <w:szCs w:val="18"/>
              </w:rPr>
              <w:t xml:space="preserve">Market Risk </w:t>
            </w:r>
          </w:p>
        </w:tc>
        <w:tc>
          <w:tcPr>
            <w:tcW w:w="6663" w:type="dxa"/>
            <w:shd w:val="clear" w:color="auto" w:fill="06B1D6" w:themeFill="accent1"/>
            <w:tcMar>
              <w:top w:w="74" w:type="dxa"/>
              <w:left w:w="146" w:type="dxa"/>
              <w:bottom w:w="74" w:type="dxa"/>
              <w:right w:w="146" w:type="dxa"/>
            </w:tcMar>
            <w:hideMark/>
          </w:tcPr>
          <w:p w14:paraId="050E1DFB" w14:textId="21EB01E1" w:rsidR="0027744C" w:rsidRPr="00CD11DE" w:rsidRDefault="0027744C" w:rsidP="0027744C">
            <w:pPr>
              <w:rPr>
                <w:sz w:val="20"/>
                <w:szCs w:val="20"/>
              </w:rPr>
            </w:pPr>
            <w:r>
              <w:rPr>
                <w:b/>
                <w:bCs/>
                <w:sz w:val="18"/>
                <w:szCs w:val="18"/>
              </w:rPr>
              <w:t xml:space="preserve">Reductions in earnings and/or value from </w:t>
            </w:r>
            <w:proofErr w:type="spellStart"/>
            <w:r>
              <w:rPr>
                <w:b/>
                <w:bCs/>
                <w:sz w:val="18"/>
                <w:szCs w:val="18"/>
              </w:rPr>
              <w:t>unfavorable</w:t>
            </w:r>
            <w:proofErr w:type="spellEnd"/>
            <w:r>
              <w:rPr>
                <w:b/>
                <w:bCs/>
                <w:sz w:val="18"/>
                <w:szCs w:val="18"/>
              </w:rPr>
              <w:t xml:space="preserve"> market movements. </w:t>
            </w:r>
          </w:p>
        </w:tc>
      </w:tr>
      <w:tr w:rsidR="0027744C" w:rsidRPr="00CD11DE" w14:paraId="21CB2D13" w14:textId="77777777" w:rsidTr="006F3279">
        <w:tc>
          <w:tcPr>
            <w:tcW w:w="704" w:type="dxa"/>
            <w:shd w:val="clear" w:color="auto" w:fill="06B1D6" w:themeFill="accent1"/>
            <w:tcMar>
              <w:top w:w="74" w:type="dxa"/>
              <w:left w:w="146" w:type="dxa"/>
              <w:bottom w:w="74" w:type="dxa"/>
              <w:right w:w="146" w:type="dxa"/>
            </w:tcMar>
            <w:hideMark/>
          </w:tcPr>
          <w:p w14:paraId="78DC904F" w14:textId="4FB3E1C4" w:rsidR="0027744C" w:rsidRPr="00CD11DE" w:rsidRDefault="0027744C" w:rsidP="0027744C">
            <w:pPr>
              <w:jc w:val="left"/>
              <w:rPr>
                <w:sz w:val="20"/>
                <w:szCs w:val="20"/>
              </w:rPr>
            </w:pPr>
            <w:r>
              <w:rPr>
                <w:b/>
                <w:bCs/>
                <w:sz w:val="18"/>
                <w:szCs w:val="18"/>
              </w:rPr>
              <w:t xml:space="preserve">5. </w:t>
            </w:r>
          </w:p>
        </w:tc>
        <w:tc>
          <w:tcPr>
            <w:tcW w:w="1564" w:type="dxa"/>
            <w:shd w:val="clear" w:color="auto" w:fill="06B1D6" w:themeFill="accent1"/>
            <w:tcMar>
              <w:top w:w="74" w:type="dxa"/>
              <w:left w:w="146" w:type="dxa"/>
              <w:bottom w:w="74" w:type="dxa"/>
              <w:right w:w="146" w:type="dxa"/>
            </w:tcMar>
            <w:hideMark/>
          </w:tcPr>
          <w:p w14:paraId="4099125F" w14:textId="7CA167C5" w:rsidR="0027744C" w:rsidRPr="00CD11DE" w:rsidRDefault="0027744C" w:rsidP="0027744C">
            <w:pPr>
              <w:jc w:val="left"/>
              <w:rPr>
                <w:sz w:val="20"/>
                <w:szCs w:val="20"/>
              </w:rPr>
            </w:pPr>
            <w:r>
              <w:rPr>
                <w:b/>
                <w:bCs/>
                <w:sz w:val="18"/>
                <w:szCs w:val="18"/>
              </w:rPr>
              <w:t xml:space="preserve">Credit Risk </w:t>
            </w:r>
          </w:p>
        </w:tc>
        <w:tc>
          <w:tcPr>
            <w:tcW w:w="6663" w:type="dxa"/>
            <w:shd w:val="clear" w:color="auto" w:fill="06B1D6" w:themeFill="accent1"/>
            <w:tcMar>
              <w:top w:w="74" w:type="dxa"/>
              <w:left w:w="146" w:type="dxa"/>
              <w:bottom w:w="74" w:type="dxa"/>
              <w:right w:w="146" w:type="dxa"/>
            </w:tcMar>
            <w:hideMark/>
          </w:tcPr>
          <w:p w14:paraId="4B62A11A" w14:textId="2647C581" w:rsidR="0027744C" w:rsidRPr="00CD11DE" w:rsidRDefault="0027744C" w:rsidP="0027744C">
            <w:pPr>
              <w:rPr>
                <w:sz w:val="20"/>
                <w:szCs w:val="20"/>
              </w:rPr>
            </w:pPr>
            <w:r>
              <w:rPr>
                <w:b/>
                <w:bCs/>
                <w:sz w:val="18"/>
                <w:szCs w:val="18"/>
              </w:rPr>
              <w:t xml:space="preserve">Failure of other parties to meet their financial obligations to the Bank and the deterioration of creditworthiness of parties to which the Bank is exposed. </w:t>
            </w:r>
          </w:p>
        </w:tc>
      </w:tr>
      <w:tr w:rsidR="0027744C" w:rsidRPr="00CD11DE" w14:paraId="40971D64" w14:textId="77777777" w:rsidTr="006F3279">
        <w:tc>
          <w:tcPr>
            <w:tcW w:w="704" w:type="dxa"/>
            <w:shd w:val="clear" w:color="auto" w:fill="06B1D6" w:themeFill="accent1"/>
            <w:tcMar>
              <w:top w:w="74" w:type="dxa"/>
              <w:left w:w="146" w:type="dxa"/>
              <w:bottom w:w="74" w:type="dxa"/>
              <w:right w:w="146" w:type="dxa"/>
            </w:tcMar>
            <w:hideMark/>
          </w:tcPr>
          <w:p w14:paraId="0A8D0873" w14:textId="2A70B2E4" w:rsidR="0027744C" w:rsidRPr="00CD11DE" w:rsidRDefault="0027744C" w:rsidP="0027744C">
            <w:pPr>
              <w:jc w:val="left"/>
              <w:rPr>
                <w:sz w:val="20"/>
                <w:szCs w:val="20"/>
              </w:rPr>
            </w:pPr>
            <w:r>
              <w:rPr>
                <w:b/>
                <w:bCs/>
                <w:sz w:val="18"/>
                <w:szCs w:val="18"/>
              </w:rPr>
              <w:t xml:space="preserve">6. </w:t>
            </w:r>
          </w:p>
        </w:tc>
        <w:tc>
          <w:tcPr>
            <w:tcW w:w="1564" w:type="dxa"/>
            <w:shd w:val="clear" w:color="auto" w:fill="06B1D6" w:themeFill="accent1"/>
            <w:tcMar>
              <w:top w:w="74" w:type="dxa"/>
              <w:left w:w="146" w:type="dxa"/>
              <w:bottom w:w="74" w:type="dxa"/>
              <w:right w:w="146" w:type="dxa"/>
            </w:tcMar>
            <w:hideMark/>
          </w:tcPr>
          <w:p w14:paraId="5F89CF62" w14:textId="408BA42D" w:rsidR="0027744C" w:rsidRPr="00CD11DE" w:rsidRDefault="0027744C" w:rsidP="0027744C">
            <w:pPr>
              <w:jc w:val="left"/>
              <w:rPr>
                <w:sz w:val="20"/>
                <w:szCs w:val="20"/>
              </w:rPr>
            </w:pPr>
            <w:r>
              <w:rPr>
                <w:b/>
                <w:bCs/>
                <w:sz w:val="18"/>
                <w:szCs w:val="18"/>
              </w:rPr>
              <w:t xml:space="preserve">Conduct Risk </w:t>
            </w:r>
          </w:p>
        </w:tc>
        <w:tc>
          <w:tcPr>
            <w:tcW w:w="6663" w:type="dxa"/>
            <w:shd w:val="clear" w:color="auto" w:fill="06B1D6" w:themeFill="accent1"/>
            <w:tcMar>
              <w:top w:w="74" w:type="dxa"/>
              <w:left w:w="146" w:type="dxa"/>
              <w:bottom w:w="74" w:type="dxa"/>
              <w:right w:w="146" w:type="dxa"/>
            </w:tcMar>
            <w:hideMark/>
          </w:tcPr>
          <w:p w14:paraId="44E5D7DD" w14:textId="482639E6" w:rsidR="0027744C" w:rsidRPr="00CD11DE" w:rsidRDefault="0027744C" w:rsidP="0027744C">
            <w:pPr>
              <w:rPr>
                <w:sz w:val="20"/>
                <w:szCs w:val="20"/>
              </w:rPr>
            </w:pPr>
            <w:r>
              <w:rPr>
                <w:b/>
                <w:bCs/>
                <w:sz w:val="18"/>
                <w:szCs w:val="18"/>
              </w:rPr>
              <w:t xml:space="preserve">Products or actions that lead to poor customer outcomes or cause harm to stakeholders or broader market integrity. </w:t>
            </w:r>
          </w:p>
        </w:tc>
      </w:tr>
      <w:tr w:rsidR="0027744C" w14:paraId="28F74829"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B9E3A43" w14:textId="77777777" w:rsidR="0027744C" w:rsidRPr="0027744C" w:rsidRDefault="0027744C" w:rsidP="0027744C">
            <w:pPr>
              <w:rPr>
                <w:b/>
                <w:bCs/>
                <w:sz w:val="18"/>
                <w:szCs w:val="18"/>
              </w:rPr>
            </w:pPr>
            <w:r w:rsidRPr="0027744C">
              <w:rPr>
                <w:b/>
                <w:bCs/>
                <w:sz w:val="18"/>
                <w:szCs w:val="18"/>
              </w:rPr>
              <w:t xml:space="preserve">6.1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02E15A6" w14:textId="77777777" w:rsidR="0027744C" w:rsidRPr="0027744C" w:rsidRDefault="0027744C" w:rsidP="0027744C">
            <w:pPr>
              <w:rPr>
                <w:b/>
                <w:bCs/>
                <w:sz w:val="18"/>
                <w:szCs w:val="18"/>
              </w:rPr>
            </w:pPr>
            <w:r w:rsidRPr="0027744C">
              <w:rPr>
                <w:b/>
                <w:bCs/>
                <w:sz w:val="18"/>
                <w:szCs w:val="18"/>
              </w:rPr>
              <w:t xml:space="preserve">Product Governance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3015E10" w14:textId="77777777" w:rsidR="0027744C" w:rsidRPr="0027744C" w:rsidRDefault="0027744C" w:rsidP="0027744C">
            <w:pPr>
              <w:rPr>
                <w:b/>
                <w:bCs/>
                <w:sz w:val="18"/>
                <w:szCs w:val="18"/>
              </w:rPr>
            </w:pPr>
            <w:r w:rsidRPr="0027744C">
              <w:rPr>
                <w:b/>
                <w:bCs/>
                <w:sz w:val="18"/>
                <w:szCs w:val="18"/>
              </w:rPr>
              <w:t xml:space="preserve">Product defects exposing the Bank or the Bank's customers to unanticipated outcomes. This includes product design flaws, unapproved product changes, legislative changes impacting on product value proposition or design and non-adherence with product rules. </w:t>
            </w:r>
          </w:p>
        </w:tc>
      </w:tr>
      <w:tr w:rsidR="0027744C" w14:paraId="7CB1BF3E"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8848FAA" w14:textId="77777777" w:rsidR="0027744C" w:rsidRPr="0027744C" w:rsidRDefault="0027744C" w:rsidP="0027744C">
            <w:pPr>
              <w:rPr>
                <w:b/>
                <w:bCs/>
                <w:sz w:val="18"/>
                <w:szCs w:val="18"/>
              </w:rPr>
            </w:pPr>
            <w:r w:rsidRPr="0027744C">
              <w:rPr>
                <w:b/>
                <w:bCs/>
                <w:sz w:val="18"/>
                <w:szCs w:val="18"/>
              </w:rPr>
              <w:t xml:space="preserve">6.2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088233B" w14:textId="77777777" w:rsidR="0027744C" w:rsidRPr="0027744C" w:rsidRDefault="0027744C" w:rsidP="0027744C">
            <w:pPr>
              <w:rPr>
                <w:b/>
                <w:bCs/>
                <w:sz w:val="18"/>
                <w:szCs w:val="18"/>
              </w:rPr>
            </w:pPr>
            <w:r w:rsidRPr="0027744C">
              <w:rPr>
                <w:b/>
                <w:bCs/>
                <w:sz w:val="18"/>
                <w:szCs w:val="18"/>
              </w:rPr>
              <w:t xml:space="preserve">Communications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1BC6A4B" w14:textId="77777777" w:rsidR="0027744C" w:rsidRPr="0027744C" w:rsidRDefault="0027744C" w:rsidP="0027744C">
            <w:pPr>
              <w:rPr>
                <w:b/>
                <w:bCs/>
                <w:sz w:val="18"/>
                <w:szCs w:val="18"/>
              </w:rPr>
            </w:pPr>
            <w:r w:rsidRPr="0027744C">
              <w:rPr>
                <w:b/>
                <w:bCs/>
                <w:sz w:val="18"/>
                <w:szCs w:val="18"/>
              </w:rPr>
              <w:t xml:space="preserve">Unclear, inaccurate, misleading or incomplete communications with customers or stakeholders. This includes digital, electronic, and physical communication formats. </w:t>
            </w:r>
          </w:p>
        </w:tc>
      </w:tr>
      <w:tr w:rsidR="0027744C" w14:paraId="4A790948"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76544F6" w14:textId="77777777" w:rsidR="0027744C" w:rsidRPr="0027744C" w:rsidRDefault="0027744C" w:rsidP="0027744C">
            <w:pPr>
              <w:rPr>
                <w:b/>
                <w:bCs/>
                <w:sz w:val="18"/>
                <w:szCs w:val="18"/>
              </w:rPr>
            </w:pPr>
            <w:r w:rsidRPr="0027744C">
              <w:rPr>
                <w:b/>
                <w:bCs/>
                <w:sz w:val="18"/>
                <w:szCs w:val="18"/>
              </w:rPr>
              <w:t xml:space="preserve">6.3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3134A50" w14:textId="77777777" w:rsidR="0027744C" w:rsidRPr="0027744C" w:rsidRDefault="0027744C" w:rsidP="0027744C">
            <w:pPr>
              <w:rPr>
                <w:b/>
                <w:bCs/>
                <w:sz w:val="18"/>
                <w:szCs w:val="18"/>
              </w:rPr>
            </w:pPr>
            <w:r w:rsidRPr="0027744C">
              <w:rPr>
                <w:b/>
                <w:bCs/>
                <w:sz w:val="18"/>
                <w:szCs w:val="18"/>
              </w:rPr>
              <w:t xml:space="preserve">Sales Practices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616BAB4" w14:textId="6F3677A8" w:rsidR="0027744C" w:rsidRPr="0027744C" w:rsidRDefault="0027744C" w:rsidP="0027744C">
            <w:pPr>
              <w:rPr>
                <w:b/>
                <w:bCs/>
                <w:sz w:val="18"/>
                <w:szCs w:val="18"/>
              </w:rPr>
            </w:pPr>
            <w:r w:rsidRPr="0027744C">
              <w:rPr>
                <w:b/>
                <w:bCs/>
                <w:sz w:val="18"/>
                <w:szCs w:val="18"/>
              </w:rPr>
              <w:t>Products sold to customers that are not appropriate for the customers’ needs. This includes aggressive sales, disclosure issues and improper trade or market practices.</w:t>
            </w:r>
          </w:p>
        </w:tc>
      </w:tr>
      <w:tr w:rsidR="0027744C" w14:paraId="3DCFEC81"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036830A" w14:textId="77777777" w:rsidR="0027744C" w:rsidRPr="0027744C" w:rsidRDefault="0027744C" w:rsidP="0027744C">
            <w:pPr>
              <w:rPr>
                <w:b/>
                <w:bCs/>
                <w:sz w:val="18"/>
                <w:szCs w:val="18"/>
              </w:rPr>
            </w:pPr>
            <w:r w:rsidRPr="0027744C">
              <w:rPr>
                <w:b/>
                <w:bCs/>
                <w:sz w:val="18"/>
                <w:szCs w:val="18"/>
              </w:rPr>
              <w:t xml:space="preserve">6.4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64DFEA2" w14:textId="77777777" w:rsidR="0027744C" w:rsidRPr="0027744C" w:rsidRDefault="0027744C" w:rsidP="0027744C">
            <w:pPr>
              <w:rPr>
                <w:b/>
                <w:bCs/>
                <w:sz w:val="18"/>
                <w:szCs w:val="18"/>
              </w:rPr>
            </w:pPr>
            <w:r w:rsidRPr="0027744C">
              <w:rPr>
                <w:b/>
                <w:bCs/>
                <w:sz w:val="18"/>
                <w:szCs w:val="18"/>
              </w:rPr>
              <w:t xml:space="preserve">Responsible Financing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92E6B31" w14:textId="77777777" w:rsidR="0027744C" w:rsidRPr="0027744C" w:rsidRDefault="0027744C" w:rsidP="0027744C">
            <w:pPr>
              <w:rPr>
                <w:b/>
                <w:bCs/>
                <w:sz w:val="18"/>
                <w:szCs w:val="18"/>
              </w:rPr>
            </w:pPr>
            <w:r w:rsidRPr="0027744C">
              <w:rPr>
                <w:b/>
                <w:bCs/>
                <w:sz w:val="18"/>
                <w:szCs w:val="18"/>
              </w:rPr>
              <w:t xml:space="preserve">Financing is provided to customers that are not in the customers' best interests. This includes exceeding customer limits, not ensuring affordability, lack of transparency of terms and conditions, value for money and suitability issues. </w:t>
            </w:r>
          </w:p>
        </w:tc>
      </w:tr>
      <w:tr w:rsidR="0027744C" w14:paraId="00E8C07E"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8A3AC49" w14:textId="77777777" w:rsidR="0027744C" w:rsidRPr="0027744C" w:rsidRDefault="0027744C" w:rsidP="0027744C">
            <w:pPr>
              <w:rPr>
                <w:b/>
                <w:bCs/>
                <w:sz w:val="18"/>
                <w:szCs w:val="18"/>
              </w:rPr>
            </w:pPr>
            <w:r w:rsidRPr="0027744C">
              <w:rPr>
                <w:b/>
                <w:bCs/>
                <w:sz w:val="18"/>
                <w:szCs w:val="18"/>
              </w:rPr>
              <w:t xml:space="preserve">6.5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A155138" w14:textId="77777777" w:rsidR="0027744C" w:rsidRPr="0027744C" w:rsidRDefault="0027744C" w:rsidP="0027744C">
            <w:pPr>
              <w:rPr>
                <w:b/>
                <w:bCs/>
                <w:sz w:val="18"/>
                <w:szCs w:val="18"/>
              </w:rPr>
            </w:pPr>
            <w:r w:rsidRPr="0027744C">
              <w:rPr>
                <w:b/>
                <w:bCs/>
                <w:sz w:val="18"/>
                <w:szCs w:val="18"/>
              </w:rPr>
              <w:t xml:space="preserve">Financial Difficulties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ED9D658" w14:textId="77777777" w:rsidR="0027744C" w:rsidRPr="0027744C" w:rsidRDefault="0027744C" w:rsidP="0027744C">
            <w:pPr>
              <w:rPr>
                <w:b/>
                <w:bCs/>
                <w:sz w:val="18"/>
                <w:szCs w:val="18"/>
              </w:rPr>
            </w:pPr>
            <w:r w:rsidRPr="0027744C">
              <w:rPr>
                <w:b/>
                <w:bCs/>
                <w:sz w:val="18"/>
                <w:szCs w:val="18"/>
              </w:rPr>
              <w:t xml:space="preserve">Not providing appropriate support to customers in financial difficulty based on their individual circumstances resulting in poor customer outcomes. </w:t>
            </w:r>
          </w:p>
        </w:tc>
      </w:tr>
      <w:tr w:rsidR="0027744C" w14:paraId="019642A4"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39FC8AC" w14:textId="77777777" w:rsidR="0027744C" w:rsidRPr="0027744C" w:rsidRDefault="0027744C" w:rsidP="0027744C">
            <w:pPr>
              <w:rPr>
                <w:b/>
                <w:bCs/>
                <w:sz w:val="18"/>
                <w:szCs w:val="18"/>
              </w:rPr>
            </w:pPr>
            <w:r w:rsidRPr="0027744C">
              <w:rPr>
                <w:b/>
                <w:bCs/>
                <w:sz w:val="18"/>
                <w:szCs w:val="18"/>
              </w:rPr>
              <w:t xml:space="preserve">6.6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3E22A34" w14:textId="77777777" w:rsidR="0027744C" w:rsidRPr="0027744C" w:rsidRDefault="0027744C" w:rsidP="0027744C">
            <w:pPr>
              <w:rPr>
                <w:b/>
                <w:bCs/>
                <w:sz w:val="18"/>
                <w:szCs w:val="18"/>
              </w:rPr>
            </w:pPr>
            <w:r w:rsidRPr="0027744C">
              <w:rPr>
                <w:b/>
                <w:bCs/>
                <w:sz w:val="18"/>
                <w:szCs w:val="18"/>
              </w:rPr>
              <w:t xml:space="preserve">Complaints Handling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679DDD0" w14:textId="77777777" w:rsidR="0027744C" w:rsidRPr="0027744C" w:rsidRDefault="0027744C" w:rsidP="0027744C">
            <w:pPr>
              <w:rPr>
                <w:b/>
                <w:bCs/>
                <w:sz w:val="18"/>
                <w:szCs w:val="18"/>
              </w:rPr>
            </w:pPr>
            <w:r w:rsidRPr="0027744C">
              <w:rPr>
                <w:b/>
                <w:bCs/>
                <w:sz w:val="18"/>
                <w:szCs w:val="18"/>
              </w:rPr>
              <w:t xml:space="preserve">Customer complaints are not identified, investigated and resolved promptly, fairly, efficiently and/or in line with regulatory obligations. </w:t>
            </w:r>
          </w:p>
        </w:tc>
      </w:tr>
      <w:tr w:rsidR="0027744C" w14:paraId="0B28629A"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4AC8BB6" w14:textId="77777777" w:rsidR="0027744C" w:rsidRPr="0027744C" w:rsidRDefault="0027744C" w:rsidP="0027744C">
            <w:pPr>
              <w:rPr>
                <w:b/>
                <w:bCs/>
                <w:sz w:val="18"/>
                <w:szCs w:val="18"/>
              </w:rPr>
            </w:pPr>
            <w:r w:rsidRPr="0027744C">
              <w:rPr>
                <w:b/>
                <w:bCs/>
                <w:sz w:val="18"/>
                <w:szCs w:val="18"/>
              </w:rPr>
              <w:t xml:space="preserve">6.7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A788D47" w14:textId="77777777" w:rsidR="0027744C" w:rsidRPr="0027744C" w:rsidRDefault="0027744C" w:rsidP="0027744C">
            <w:pPr>
              <w:rPr>
                <w:b/>
                <w:bCs/>
                <w:sz w:val="18"/>
                <w:szCs w:val="18"/>
              </w:rPr>
            </w:pPr>
            <w:r w:rsidRPr="0027744C">
              <w:rPr>
                <w:b/>
                <w:bCs/>
                <w:sz w:val="18"/>
                <w:szCs w:val="18"/>
              </w:rPr>
              <w:t xml:space="preserve">Vulnerable Customers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DD08D32" w14:textId="77777777" w:rsidR="0027744C" w:rsidRPr="0027744C" w:rsidRDefault="0027744C" w:rsidP="0027744C">
            <w:pPr>
              <w:rPr>
                <w:b/>
                <w:bCs/>
                <w:sz w:val="18"/>
                <w:szCs w:val="18"/>
              </w:rPr>
            </w:pPr>
            <w:r w:rsidRPr="0027744C">
              <w:rPr>
                <w:b/>
                <w:bCs/>
                <w:sz w:val="18"/>
                <w:szCs w:val="18"/>
              </w:rPr>
              <w:t xml:space="preserve">Vulnerable customers are not identified and accommodated resulting in poor outcomes for these customers and failure to meet regulatory obligations. </w:t>
            </w:r>
          </w:p>
        </w:tc>
      </w:tr>
      <w:tr w:rsidR="0027744C" w14:paraId="02AA4539"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C4CCE88" w14:textId="77777777" w:rsidR="0027744C" w:rsidRPr="0027744C" w:rsidRDefault="0027744C" w:rsidP="0027744C">
            <w:pPr>
              <w:rPr>
                <w:b/>
                <w:bCs/>
                <w:sz w:val="18"/>
                <w:szCs w:val="18"/>
              </w:rPr>
            </w:pPr>
            <w:r w:rsidRPr="0027744C">
              <w:rPr>
                <w:b/>
                <w:bCs/>
                <w:sz w:val="18"/>
                <w:szCs w:val="18"/>
              </w:rPr>
              <w:t xml:space="preserve">6.8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99C1CA2" w14:textId="77777777" w:rsidR="0027744C" w:rsidRPr="0027744C" w:rsidRDefault="0027744C" w:rsidP="0027744C">
            <w:pPr>
              <w:rPr>
                <w:b/>
                <w:bCs/>
                <w:sz w:val="18"/>
                <w:szCs w:val="18"/>
              </w:rPr>
            </w:pPr>
            <w:r w:rsidRPr="0027744C">
              <w:rPr>
                <w:b/>
                <w:bCs/>
                <w:sz w:val="18"/>
                <w:szCs w:val="18"/>
              </w:rPr>
              <w:t xml:space="preserve">Conflicts of Interest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5035BE7" w14:textId="77777777" w:rsidR="0027744C" w:rsidRPr="0027744C" w:rsidRDefault="0027744C" w:rsidP="0027744C">
            <w:pPr>
              <w:rPr>
                <w:b/>
                <w:bCs/>
                <w:sz w:val="18"/>
                <w:szCs w:val="18"/>
              </w:rPr>
            </w:pPr>
            <w:r w:rsidRPr="0027744C">
              <w:rPr>
                <w:b/>
                <w:bCs/>
                <w:sz w:val="18"/>
                <w:szCs w:val="18"/>
              </w:rPr>
              <w:t xml:space="preserve">The judgement or actions of the Bank's employees, including management or Board may be adversely influenced due to conflicts with the interest of the Bank or the Bank's customers or where the Bank's interest may conflict with the interests of its stakeholders or customers. This risk includes abuse of access to privileged Bank or customer information, abuse of a position of authority or mandate. </w:t>
            </w:r>
          </w:p>
        </w:tc>
      </w:tr>
      <w:tr w:rsidR="0027744C" w14:paraId="584EEA02"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73EF68A6" w14:textId="77777777" w:rsidR="0027744C" w:rsidRPr="0027744C" w:rsidRDefault="0027744C" w:rsidP="0027744C">
            <w:pPr>
              <w:rPr>
                <w:b/>
                <w:bCs/>
                <w:sz w:val="18"/>
                <w:szCs w:val="18"/>
              </w:rPr>
            </w:pPr>
            <w:r>
              <w:rPr>
                <w:b/>
                <w:bCs/>
                <w:sz w:val="18"/>
                <w:szCs w:val="18"/>
              </w:rPr>
              <w:lastRenderedPageBreak/>
              <w:t xml:space="preserve">7.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428E9C38" w14:textId="77777777" w:rsidR="0027744C" w:rsidRPr="0027744C" w:rsidRDefault="0027744C" w:rsidP="0027744C">
            <w:pPr>
              <w:rPr>
                <w:b/>
                <w:bCs/>
                <w:sz w:val="18"/>
                <w:szCs w:val="18"/>
              </w:rPr>
            </w:pPr>
            <w:r>
              <w:rPr>
                <w:b/>
                <w:bCs/>
                <w:sz w:val="18"/>
                <w:szCs w:val="18"/>
              </w:rPr>
              <w:t xml:space="preserve">Compliance and Legal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740BEA2E" w14:textId="77777777" w:rsidR="0027744C" w:rsidRPr="0027744C" w:rsidRDefault="0027744C" w:rsidP="0027744C">
            <w:pPr>
              <w:rPr>
                <w:b/>
                <w:bCs/>
                <w:sz w:val="18"/>
                <w:szCs w:val="18"/>
              </w:rPr>
            </w:pPr>
            <w:r>
              <w:rPr>
                <w:b/>
                <w:bCs/>
                <w:sz w:val="18"/>
                <w:szCs w:val="18"/>
              </w:rPr>
              <w:t xml:space="preserve">Non-compliance with laws, rules, regulations, standards, contractual obligations and codes of conduct. </w:t>
            </w:r>
          </w:p>
        </w:tc>
      </w:tr>
      <w:tr w:rsidR="0027744C" w14:paraId="4C4E1DD8"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3251EED" w14:textId="77777777" w:rsidR="0027744C" w:rsidRPr="0027744C" w:rsidRDefault="0027744C" w:rsidP="0027744C">
            <w:pPr>
              <w:rPr>
                <w:b/>
                <w:bCs/>
                <w:sz w:val="18"/>
                <w:szCs w:val="18"/>
              </w:rPr>
            </w:pPr>
            <w:r w:rsidRPr="0027744C">
              <w:rPr>
                <w:b/>
                <w:bCs/>
                <w:sz w:val="18"/>
                <w:szCs w:val="18"/>
              </w:rPr>
              <w:t xml:space="preserve">7.1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2204643" w14:textId="77777777" w:rsidR="0027744C" w:rsidRPr="0027744C" w:rsidRDefault="0027744C" w:rsidP="0027744C">
            <w:pPr>
              <w:rPr>
                <w:b/>
                <w:bCs/>
                <w:sz w:val="18"/>
                <w:szCs w:val="18"/>
              </w:rPr>
            </w:pPr>
            <w:r w:rsidRPr="0027744C">
              <w:rPr>
                <w:b/>
                <w:bCs/>
                <w:sz w:val="18"/>
                <w:szCs w:val="18"/>
              </w:rPr>
              <w:t xml:space="preserve">Legal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B343BDA" w14:textId="77777777" w:rsidR="0027744C" w:rsidRPr="0027744C" w:rsidRDefault="0027744C" w:rsidP="0027744C">
            <w:pPr>
              <w:rPr>
                <w:b/>
                <w:bCs/>
                <w:sz w:val="18"/>
                <w:szCs w:val="18"/>
              </w:rPr>
            </w:pPr>
            <w:r w:rsidRPr="0027744C">
              <w:rPr>
                <w:b/>
                <w:bCs/>
                <w:sz w:val="18"/>
                <w:szCs w:val="18"/>
              </w:rPr>
              <w:t xml:space="preserve">Legal action or criminal charges against the Bank or authorised representatives of the Bank. Types of legal risk include corporate risk, contract risk, litigation risk, intellectual property risk (including copyrights and trademarks) and tort (wrongful act other than breach of contract that injures another) </w:t>
            </w:r>
          </w:p>
        </w:tc>
      </w:tr>
      <w:tr w:rsidR="0027744C" w14:paraId="64295632"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AEFC592" w14:textId="77777777" w:rsidR="0027744C" w:rsidRPr="0027744C" w:rsidRDefault="0027744C" w:rsidP="0027744C">
            <w:pPr>
              <w:rPr>
                <w:b/>
                <w:bCs/>
                <w:sz w:val="18"/>
                <w:szCs w:val="18"/>
              </w:rPr>
            </w:pPr>
            <w:r w:rsidRPr="0027744C">
              <w:rPr>
                <w:b/>
                <w:bCs/>
                <w:sz w:val="18"/>
                <w:szCs w:val="18"/>
              </w:rPr>
              <w:t xml:space="preserve">7.2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B7B6A13" w14:textId="77777777" w:rsidR="0027744C" w:rsidRPr="0027744C" w:rsidRDefault="0027744C" w:rsidP="0027744C">
            <w:pPr>
              <w:rPr>
                <w:b/>
                <w:bCs/>
                <w:sz w:val="18"/>
                <w:szCs w:val="18"/>
              </w:rPr>
            </w:pPr>
            <w:r w:rsidRPr="0027744C">
              <w:rPr>
                <w:b/>
                <w:bCs/>
                <w:sz w:val="18"/>
                <w:szCs w:val="18"/>
              </w:rPr>
              <w:t xml:space="preserve">Regulatory Compliance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8A1344C" w14:textId="77777777" w:rsidR="0027744C" w:rsidRPr="0027744C" w:rsidRDefault="0027744C" w:rsidP="0027744C">
            <w:pPr>
              <w:rPr>
                <w:b/>
                <w:bCs/>
                <w:sz w:val="18"/>
                <w:szCs w:val="18"/>
              </w:rPr>
            </w:pPr>
            <w:r w:rsidRPr="0027744C">
              <w:rPr>
                <w:b/>
                <w:bCs/>
                <w:sz w:val="18"/>
                <w:szCs w:val="18"/>
              </w:rPr>
              <w:t xml:space="preserve">The Bank may not comply with regulations, rules, and codes of conduct applicable to the jurisdictions and services it provides. This includes the risk of Non-Financial Regulatory Reporting (NFRR) timelines not being met, or inaccurate or incomplete NFRR submissions. </w:t>
            </w:r>
          </w:p>
        </w:tc>
      </w:tr>
      <w:tr w:rsidR="0027744C" w14:paraId="48240D3C"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A72C0B6" w14:textId="77777777" w:rsidR="0027744C" w:rsidRPr="0027744C" w:rsidRDefault="0027744C" w:rsidP="0027744C">
            <w:pPr>
              <w:rPr>
                <w:b/>
                <w:bCs/>
                <w:sz w:val="18"/>
                <w:szCs w:val="18"/>
              </w:rPr>
            </w:pPr>
            <w:r w:rsidRPr="0027744C">
              <w:rPr>
                <w:b/>
                <w:bCs/>
                <w:sz w:val="18"/>
                <w:szCs w:val="18"/>
              </w:rPr>
              <w:t xml:space="preserve">7.3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F57D218" w14:textId="77777777" w:rsidR="0027744C" w:rsidRPr="0027744C" w:rsidRDefault="0027744C" w:rsidP="0027744C">
            <w:pPr>
              <w:rPr>
                <w:b/>
                <w:bCs/>
                <w:sz w:val="18"/>
                <w:szCs w:val="18"/>
              </w:rPr>
            </w:pPr>
            <w:r w:rsidRPr="0027744C">
              <w:rPr>
                <w:b/>
                <w:bCs/>
                <w:sz w:val="18"/>
                <w:szCs w:val="18"/>
              </w:rPr>
              <w:t xml:space="preserve">Data Protection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723C39A" w14:textId="77777777" w:rsidR="0027744C" w:rsidRPr="0027744C" w:rsidRDefault="0027744C" w:rsidP="0027744C">
            <w:pPr>
              <w:rPr>
                <w:b/>
                <w:bCs/>
                <w:sz w:val="18"/>
                <w:szCs w:val="18"/>
              </w:rPr>
            </w:pPr>
            <w:r w:rsidRPr="0027744C">
              <w:rPr>
                <w:b/>
                <w:bCs/>
                <w:sz w:val="18"/>
                <w:szCs w:val="18"/>
              </w:rPr>
              <w:t xml:space="preserve">The Bank may not collect, protect, handle and/or manage personal data in line with privacy laws, associated regulations, and industry standards. </w:t>
            </w:r>
          </w:p>
        </w:tc>
      </w:tr>
      <w:tr w:rsidR="0027744C" w14:paraId="7BD361E0"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6AA50DDF" w14:textId="77777777" w:rsidR="0027744C" w:rsidRPr="0027744C" w:rsidRDefault="0027744C" w:rsidP="0027744C">
            <w:pPr>
              <w:rPr>
                <w:b/>
                <w:bCs/>
                <w:sz w:val="18"/>
                <w:szCs w:val="18"/>
              </w:rPr>
            </w:pPr>
            <w:r>
              <w:rPr>
                <w:b/>
                <w:bCs/>
                <w:sz w:val="18"/>
                <w:szCs w:val="18"/>
              </w:rPr>
              <w:t xml:space="preserve">8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59121574" w14:textId="77777777" w:rsidR="0027744C" w:rsidRPr="0027744C" w:rsidRDefault="0027744C" w:rsidP="0027744C">
            <w:pPr>
              <w:rPr>
                <w:b/>
                <w:bCs/>
                <w:sz w:val="18"/>
                <w:szCs w:val="18"/>
              </w:rPr>
            </w:pPr>
            <w:r>
              <w:rPr>
                <w:b/>
                <w:bCs/>
                <w:sz w:val="18"/>
                <w:szCs w:val="18"/>
              </w:rPr>
              <w:t xml:space="preserve">ESG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25CDDD22" w14:textId="77777777" w:rsidR="0027744C" w:rsidRPr="0027744C" w:rsidRDefault="0027744C" w:rsidP="0027744C">
            <w:pPr>
              <w:rPr>
                <w:b/>
                <w:bCs/>
                <w:sz w:val="18"/>
                <w:szCs w:val="18"/>
              </w:rPr>
            </w:pPr>
            <w:r>
              <w:rPr>
                <w:b/>
                <w:bCs/>
                <w:sz w:val="18"/>
                <w:szCs w:val="18"/>
              </w:rPr>
              <w:t xml:space="preserve">Ineffective or inadequate integration of environmental, social and governance practices into the Bank’s operations, including products and supply chain. </w:t>
            </w:r>
          </w:p>
        </w:tc>
      </w:tr>
      <w:tr w:rsidR="0027744C" w14:paraId="1C8EB189"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36E30BB" w14:textId="77777777" w:rsidR="0027744C" w:rsidRPr="0027744C" w:rsidRDefault="0027744C" w:rsidP="0027744C">
            <w:pPr>
              <w:rPr>
                <w:b/>
                <w:bCs/>
                <w:sz w:val="18"/>
                <w:szCs w:val="18"/>
              </w:rPr>
            </w:pPr>
            <w:r w:rsidRPr="0027744C">
              <w:rPr>
                <w:b/>
                <w:bCs/>
                <w:sz w:val="18"/>
                <w:szCs w:val="18"/>
              </w:rPr>
              <w:t xml:space="preserve">8.1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55044E8" w14:textId="77777777" w:rsidR="0027744C" w:rsidRPr="0027744C" w:rsidRDefault="0027744C" w:rsidP="0027744C">
            <w:pPr>
              <w:rPr>
                <w:b/>
                <w:bCs/>
                <w:sz w:val="18"/>
                <w:szCs w:val="18"/>
              </w:rPr>
            </w:pPr>
            <w:r w:rsidRPr="0027744C">
              <w:rPr>
                <w:b/>
                <w:bCs/>
                <w:sz w:val="18"/>
                <w:szCs w:val="18"/>
              </w:rPr>
              <w:t xml:space="preserve">Climate Change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370635C" w14:textId="77777777" w:rsidR="0027744C" w:rsidRPr="0027744C" w:rsidRDefault="0027744C" w:rsidP="0027744C">
            <w:pPr>
              <w:rPr>
                <w:b/>
                <w:bCs/>
                <w:sz w:val="18"/>
                <w:szCs w:val="18"/>
              </w:rPr>
            </w:pPr>
            <w:r w:rsidRPr="0027744C">
              <w:rPr>
                <w:b/>
                <w:bCs/>
                <w:sz w:val="18"/>
                <w:szCs w:val="18"/>
              </w:rPr>
              <w:t xml:space="preserve">The Bank is adversely impacted by changes in climate or inappropriately contributes to climate change. This risk includes transition risk (transition to low carbon economy), physical risk (extreme weather events) and liability risk (e.g. contractual or insurance). </w:t>
            </w:r>
          </w:p>
        </w:tc>
      </w:tr>
      <w:tr w:rsidR="0027744C" w14:paraId="2C99573B"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90A0D10" w14:textId="77777777" w:rsidR="0027744C" w:rsidRPr="0027744C" w:rsidRDefault="0027744C" w:rsidP="0027744C">
            <w:pPr>
              <w:rPr>
                <w:b/>
                <w:bCs/>
                <w:sz w:val="18"/>
                <w:szCs w:val="18"/>
              </w:rPr>
            </w:pPr>
            <w:r w:rsidRPr="0027744C">
              <w:rPr>
                <w:b/>
                <w:bCs/>
                <w:sz w:val="18"/>
                <w:szCs w:val="18"/>
              </w:rPr>
              <w:t xml:space="preserve">8.2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1A41CD8" w14:textId="77777777" w:rsidR="0027744C" w:rsidRPr="0027744C" w:rsidRDefault="0027744C" w:rsidP="0027744C">
            <w:pPr>
              <w:rPr>
                <w:b/>
                <w:bCs/>
                <w:sz w:val="18"/>
                <w:szCs w:val="18"/>
              </w:rPr>
            </w:pPr>
            <w:r w:rsidRPr="0027744C">
              <w:rPr>
                <w:b/>
                <w:bCs/>
                <w:sz w:val="18"/>
                <w:szCs w:val="18"/>
              </w:rPr>
              <w:t xml:space="preserve">Corporate and Social Responsibility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FF351E0" w14:textId="77777777" w:rsidR="0027744C" w:rsidRPr="0027744C" w:rsidRDefault="0027744C" w:rsidP="0027744C">
            <w:pPr>
              <w:rPr>
                <w:b/>
                <w:bCs/>
                <w:sz w:val="18"/>
                <w:szCs w:val="18"/>
              </w:rPr>
            </w:pPr>
            <w:r w:rsidRPr="0027744C">
              <w:rPr>
                <w:b/>
                <w:bCs/>
                <w:sz w:val="18"/>
                <w:szCs w:val="18"/>
              </w:rPr>
              <w:t xml:space="preserve">The Bank's interaction with society, its employees, customers and other stakeholders may not positively contribute to fairness and equality. </w:t>
            </w:r>
          </w:p>
        </w:tc>
      </w:tr>
      <w:tr w:rsidR="0027744C" w14:paraId="612A556D"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743E0CD" w14:textId="77777777" w:rsidR="0027744C" w:rsidRPr="0027744C" w:rsidRDefault="0027744C" w:rsidP="0027744C">
            <w:pPr>
              <w:rPr>
                <w:b/>
                <w:bCs/>
                <w:sz w:val="18"/>
                <w:szCs w:val="18"/>
              </w:rPr>
            </w:pPr>
            <w:r w:rsidRPr="0027744C">
              <w:rPr>
                <w:b/>
                <w:bCs/>
                <w:sz w:val="18"/>
                <w:szCs w:val="18"/>
              </w:rPr>
              <w:t xml:space="preserve">8.3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213D743" w14:textId="77777777" w:rsidR="0027744C" w:rsidRPr="0027744C" w:rsidRDefault="0027744C" w:rsidP="0027744C">
            <w:pPr>
              <w:rPr>
                <w:b/>
                <w:bCs/>
                <w:sz w:val="18"/>
                <w:szCs w:val="18"/>
              </w:rPr>
            </w:pPr>
            <w:r w:rsidRPr="0027744C">
              <w:rPr>
                <w:b/>
                <w:bCs/>
                <w:sz w:val="18"/>
                <w:szCs w:val="18"/>
              </w:rPr>
              <w:t xml:space="preserve">Corporate Governance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E36076D" w14:textId="77777777" w:rsidR="0027744C" w:rsidRPr="0027744C" w:rsidRDefault="0027744C" w:rsidP="0027744C">
            <w:pPr>
              <w:rPr>
                <w:b/>
                <w:bCs/>
                <w:sz w:val="18"/>
                <w:szCs w:val="18"/>
              </w:rPr>
            </w:pPr>
            <w:r w:rsidRPr="0027744C">
              <w:rPr>
                <w:b/>
                <w:bCs/>
                <w:sz w:val="18"/>
                <w:szCs w:val="18"/>
              </w:rPr>
              <w:t xml:space="preserve">The Bank's ESG governance standards or the Bank's commitment to building a culture dedicated to ethical business </w:t>
            </w:r>
            <w:proofErr w:type="spellStart"/>
            <w:r w:rsidRPr="0027744C">
              <w:rPr>
                <w:b/>
                <w:bCs/>
                <w:sz w:val="18"/>
                <w:szCs w:val="18"/>
              </w:rPr>
              <w:t>behavior</w:t>
            </w:r>
            <w:proofErr w:type="spellEnd"/>
            <w:r w:rsidRPr="0027744C">
              <w:rPr>
                <w:b/>
                <w:bCs/>
                <w:sz w:val="18"/>
                <w:szCs w:val="18"/>
              </w:rPr>
              <w:t xml:space="preserve"> and responsible corporate activity is not supported by the way in which the Bank is led and managed. This includes the following: Business ethics, Board composition, corporate leadership, Risk and crisis management, Resource allocation, Incentive structures, Political responsibility, Transparency, Anti-corruption and integrity, Tax strategy, Fair competitive practices, Stakeholder engagement and Supply/value chain management. </w:t>
            </w:r>
          </w:p>
        </w:tc>
      </w:tr>
      <w:tr w:rsidR="0027744C" w14:paraId="7D09BCD3"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07325DF8" w14:textId="77777777" w:rsidR="0027744C" w:rsidRPr="0027744C" w:rsidRDefault="0027744C" w:rsidP="0027744C">
            <w:pPr>
              <w:rPr>
                <w:b/>
                <w:bCs/>
                <w:sz w:val="18"/>
                <w:szCs w:val="18"/>
              </w:rPr>
            </w:pPr>
            <w:r>
              <w:rPr>
                <w:b/>
                <w:bCs/>
                <w:sz w:val="18"/>
                <w:szCs w:val="18"/>
              </w:rPr>
              <w:t xml:space="preserve">9.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324B9DCE" w14:textId="77777777" w:rsidR="0027744C" w:rsidRPr="0027744C" w:rsidRDefault="0027744C" w:rsidP="0027744C">
            <w:pPr>
              <w:rPr>
                <w:b/>
                <w:bCs/>
                <w:sz w:val="18"/>
                <w:szCs w:val="18"/>
              </w:rPr>
            </w:pPr>
            <w:r>
              <w:rPr>
                <w:b/>
                <w:bCs/>
                <w:sz w:val="18"/>
                <w:szCs w:val="18"/>
              </w:rPr>
              <w:t xml:space="preserve">People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19F1AFD8" w14:textId="77777777" w:rsidR="0027744C" w:rsidRPr="0027744C" w:rsidRDefault="0027744C" w:rsidP="0027744C">
            <w:pPr>
              <w:rPr>
                <w:b/>
                <w:bCs/>
                <w:sz w:val="18"/>
                <w:szCs w:val="18"/>
              </w:rPr>
            </w:pPr>
            <w:r>
              <w:rPr>
                <w:b/>
                <w:bCs/>
                <w:sz w:val="18"/>
                <w:szCs w:val="18"/>
              </w:rPr>
              <w:t xml:space="preserve">Inability to recruit and retain skilled staff, inadequate training or management of staff, inappropriate reward and incentives and inadequate health and safety practices. </w:t>
            </w:r>
          </w:p>
        </w:tc>
      </w:tr>
      <w:tr w:rsidR="0027744C" w14:paraId="11CE1685"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C3EE4BB" w14:textId="77777777" w:rsidR="0027744C" w:rsidRPr="0027744C" w:rsidRDefault="0027744C" w:rsidP="0027744C">
            <w:pPr>
              <w:rPr>
                <w:b/>
                <w:bCs/>
                <w:sz w:val="18"/>
                <w:szCs w:val="18"/>
              </w:rPr>
            </w:pPr>
            <w:r w:rsidRPr="0027744C">
              <w:rPr>
                <w:b/>
                <w:bCs/>
                <w:sz w:val="18"/>
                <w:szCs w:val="18"/>
              </w:rPr>
              <w:t xml:space="preserve">9.1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3D99BB8" w14:textId="77777777" w:rsidR="0027744C" w:rsidRPr="0027744C" w:rsidRDefault="0027744C" w:rsidP="0027744C">
            <w:pPr>
              <w:rPr>
                <w:b/>
                <w:bCs/>
                <w:sz w:val="18"/>
                <w:szCs w:val="18"/>
              </w:rPr>
            </w:pPr>
            <w:r w:rsidRPr="0027744C">
              <w:rPr>
                <w:b/>
                <w:bCs/>
                <w:sz w:val="18"/>
                <w:szCs w:val="18"/>
              </w:rPr>
              <w:t xml:space="preserve">Diversity &amp; Inclusion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E37CE1E" w14:textId="77777777" w:rsidR="0027744C" w:rsidRPr="0027744C" w:rsidRDefault="0027744C" w:rsidP="0027744C">
            <w:pPr>
              <w:rPr>
                <w:b/>
                <w:bCs/>
                <w:sz w:val="18"/>
                <w:szCs w:val="18"/>
              </w:rPr>
            </w:pPr>
            <w:r w:rsidRPr="0027744C">
              <w:rPr>
                <w:b/>
                <w:bCs/>
                <w:sz w:val="18"/>
                <w:szCs w:val="18"/>
              </w:rPr>
              <w:t xml:space="preserve">Not fostering a diverse and inclusive workplace, ensuring fair treatment and /or addressing potential biases. This includes all types of discrimination </w:t>
            </w:r>
          </w:p>
        </w:tc>
      </w:tr>
      <w:tr w:rsidR="0027744C" w14:paraId="6119B675"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F61DD61" w14:textId="77777777" w:rsidR="0027744C" w:rsidRPr="0027744C" w:rsidRDefault="0027744C" w:rsidP="0027744C">
            <w:pPr>
              <w:rPr>
                <w:b/>
                <w:bCs/>
                <w:sz w:val="18"/>
                <w:szCs w:val="18"/>
              </w:rPr>
            </w:pPr>
            <w:r w:rsidRPr="0027744C">
              <w:rPr>
                <w:b/>
                <w:bCs/>
                <w:sz w:val="18"/>
                <w:szCs w:val="18"/>
              </w:rPr>
              <w:t xml:space="preserve">9.2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876AFE6" w14:textId="77777777" w:rsidR="0027744C" w:rsidRPr="0027744C" w:rsidRDefault="0027744C" w:rsidP="0027744C">
            <w:pPr>
              <w:rPr>
                <w:b/>
                <w:bCs/>
                <w:sz w:val="18"/>
                <w:szCs w:val="18"/>
              </w:rPr>
            </w:pPr>
            <w:r w:rsidRPr="0027744C">
              <w:rPr>
                <w:b/>
                <w:bCs/>
                <w:sz w:val="18"/>
                <w:szCs w:val="18"/>
              </w:rPr>
              <w:t xml:space="preserve">Remuneration &amp; Reward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C46E657" w14:textId="77777777" w:rsidR="0027744C" w:rsidRPr="0027744C" w:rsidRDefault="0027744C" w:rsidP="0027744C">
            <w:pPr>
              <w:rPr>
                <w:b/>
                <w:bCs/>
                <w:sz w:val="18"/>
                <w:szCs w:val="18"/>
              </w:rPr>
            </w:pPr>
            <w:r w:rsidRPr="0027744C">
              <w:rPr>
                <w:b/>
                <w:bCs/>
                <w:sz w:val="18"/>
                <w:szCs w:val="18"/>
              </w:rPr>
              <w:t xml:space="preserve">Reward and / or incentive structures do not support long term, sustainable business performance or appropriate risk management practices. </w:t>
            </w:r>
          </w:p>
        </w:tc>
      </w:tr>
      <w:tr w:rsidR="0027744C" w14:paraId="7B82C185"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39E3255" w14:textId="77777777" w:rsidR="0027744C" w:rsidRPr="0027744C" w:rsidRDefault="0027744C" w:rsidP="0027744C">
            <w:pPr>
              <w:rPr>
                <w:b/>
                <w:bCs/>
                <w:sz w:val="18"/>
                <w:szCs w:val="18"/>
              </w:rPr>
            </w:pPr>
            <w:r w:rsidRPr="0027744C">
              <w:rPr>
                <w:b/>
                <w:bCs/>
                <w:sz w:val="18"/>
                <w:szCs w:val="18"/>
              </w:rPr>
              <w:lastRenderedPageBreak/>
              <w:t xml:space="preserve">9.3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6FDBED8" w14:textId="77777777" w:rsidR="0027744C" w:rsidRPr="0027744C" w:rsidRDefault="0027744C" w:rsidP="0027744C">
            <w:pPr>
              <w:rPr>
                <w:b/>
                <w:bCs/>
                <w:sz w:val="18"/>
                <w:szCs w:val="18"/>
              </w:rPr>
            </w:pPr>
            <w:r w:rsidRPr="0027744C">
              <w:rPr>
                <w:b/>
                <w:bCs/>
                <w:sz w:val="18"/>
                <w:szCs w:val="18"/>
              </w:rPr>
              <w:t xml:space="preserve">Resourcing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F8F47BF" w14:textId="77777777" w:rsidR="0027744C" w:rsidRPr="0027744C" w:rsidRDefault="0027744C" w:rsidP="0027744C">
            <w:pPr>
              <w:rPr>
                <w:b/>
                <w:bCs/>
                <w:sz w:val="18"/>
                <w:szCs w:val="18"/>
              </w:rPr>
            </w:pPr>
            <w:r w:rsidRPr="0027744C">
              <w:rPr>
                <w:b/>
                <w:bCs/>
                <w:sz w:val="18"/>
                <w:szCs w:val="18"/>
              </w:rPr>
              <w:t xml:space="preserve">The Bank may select inappropriate candidates, not attract or recruit talent that is appropriately skilled, qualified or diverse, or not recruit appropriate levels of resources to support the operational activities of the Bank </w:t>
            </w:r>
          </w:p>
        </w:tc>
      </w:tr>
      <w:tr w:rsidR="0027744C" w14:paraId="4BB6AA28"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CE5EA1F" w14:textId="77777777" w:rsidR="0027744C" w:rsidRPr="0027744C" w:rsidRDefault="0027744C" w:rsidP="0027744C">
            <w:pPr>
              <w:rPr>
                <w:b/>
                <w:bCs/>
                <w:sz w:val="18"/>
                <w:szCs w:val="18"/>
              </w:rPr>
            </w:pPr>
            <w:r w:rsidRPr="0027744C">
              <w:rPr>
                <w:b/>
                <w:bCs/>
                <w:sz w:val="18"/>
                <w:szCs w:val="18"/>
              </w:rPr>
              <w:t xml:space="preserve">9.4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B53A4B1" w14:textId="77777777" w:rsidR="0027744C" w:rsidRPr="0027744C" w:rsidRDefault="0027744C" w:rsidP="0027744C">
            <w:pPr>
              <w:rPr>
                <w:b/>
                <w:bCs/>
                <w:sz w:val="18"/>
                <w:szCs w:val="18"/>
              </w:rPr>
            </w:pPr>
            <w:r w:rsidRPr="0027744C">
              <w:rPr>
                <w:b/>
                <w:bCs/>
                <w:sz w:val="18"/>
                <w:szCs w:val="18"/>
              </w:rPr>
              <w:t xml:space="preserve">Culture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2E1F6D6" w14:textId="77777777" w:rsidR="0027744C" w:rsidRPr="0027744C" w:rsidRDefault="0027744C" w:rsidP="0027744C">
            <w:pPr>
              <w:rPr>
                <w:b/>
                <w:bCs/>
                <w:sz w:val="18"/>
                <w:szCs w:val="18"/>
              </w:rPr>
            </w:pPr>
            <w:r w:rsidRPr="0027744C">
              <w:rPr>
                <w:b/>
                <w:bCs/>
                <w:sz w:val="18"/>
                <w:szCs w:val="18"/>
              </w:rPr>
              <w:t xml:space="preserve">Misalignment between the Bank's values and leader's actions, colleague </w:t>
            </w:r>
            <w:proofErr w:type="spellStart"/>
            <w:r w:rsidRPr="0027744C">
              <w:rPr>
                <w:b/>
                <w:bCs/>
                <w:sz w:val="18"/>
                <w:szCs w:val="18"/>
              </w:rPr>
              <w:t>behavior</w:t>
            </w:r>
            <w:proofErr w:type="spellEnd"/>
            <w:r w:rsidRPr="0027744C">
              <w:rPr>
                <w:b/>
                <w:bCs/>
                <w:sz w:val="18"/>
                <w:szCs w:val="18"/>
              </w:rPr>
              <w:t xml:space="preserve"> or the Bank's organisational systems. </w:t>
            </w:r>
          </w:p>
        </w:tc>
      </w:tr>
      <w:tr w:rsidR="0027744C" w14:paraId="4DB78520"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DC4C642" w14:textId="77777777" w:rsidR="0027744C" w:rsidRPr="0027744C" w:rsidRDefault="0027744C" w:rsidP="0027744C">
            <w:pPr>
              <w:rPr>
                <w:b/>
                <w:bCs/>
                <w:sz w:val="18"/>
                <w:szCs w:val="18"/>
              </w:rPr>
            </w:pPr>
            <w:r w:rsidRPr="0027744C">
              <w:rPr>
                <w:b/>
                <w:bCs/>
                <w:sz w:val="18"/>
                <w:szCs w:val="18"/>
              </w:rPr>
              <w:t xml:space="preserve">9.5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0F6B88E" w14:textId="77777777" w:rsidR="0027744C" w:rsidRPr="0027744C" w:rsidRDefault="0027744C" w:rsidP="0027744C">
            <w:pPr>
              <w:rPr>
                <w:b/>
                <w:bCs/>
                <w:sz w:val="18"/>
                <w:szCs w:val="18"/>
              </w:rPr>
            </w:pPr>
            <w:r w:rsidRPr="0027744C">
              <w:rPr>
                <w:b/>
                <w:bCs/>
                <w:sz w:val="18"/>
                <w:szCs w:val="18"/>
              </w:rPr>
              <w:t xml:space="preserve">Retention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412EC9C" w14:textId="77777777" w:rsidR="0027744C" w:rsidRPr="0027744C" w:rsidRDefault="0027744C" w:rsidP="0027744C">
            <w:pPr>
              <w:rPr>
                <w:b/>
                <w:bCs/>
                <w:sz w:val="18"/>
                <w:szCs w:val="18"/>
              </w:rPr>
            </w:pPr>
            <w:r w:rsidRPr="0027744C">
              <w:rPr>
                <w:b/>
                <w:bCs/>
                <w:sz w:val="18"/>
                <w:szCs w:val="18"/>
              </w:rPr>
              <w:t xml:space="preserve">The Bank may not retain its current and valuable employees. </w:t>
            </w:r>
          </w:p>
        </w:tc>
      </w:tr>
      <w:tr w:rsidR="0027744C" w14:paraId="675BF96F"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B2A2126" w14:textId="77777777" w:rsidR="0027744C" w:rsidRPr="0027744C" w:rsidRDefault="0027744C" w:rsidP="0027744C">
            <w:pPr>
              <w:rPr>
                <w:b/>
                <w:bCs/>
                <w:sz w:val="18"/>
                <w:szCs w:val="18"/>
              </w:rPr>
            </w:pPr>
            <w:r w:rsidRPr="0027744C">
              <w:rPr>
                <w:b/>
                <w:bCs/>
                <w:sz w:val="18"/>
                <w:szCs w:val="18"/>
              </w:rPr>
              <w:t xml:space="preserve">9.6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A46B035" w14:textId="77777777" w:rsidR="0027744C" w:rsidRPr="0027744C" w:rsidRDefault="0027744C" w:rsidP="0027744C">
            <w:pPr>
              <w:rPr>
                <w:b/>
                <w:bCs/>
                <w:sz w:val="18"/>
                <w:szCs w:val="18"/>
              </w:rPr>
            </w:pPr>
            <w:r w:rsidRPr="0027744C">
              <w:rPr>
                <w:b/>
                <w:bCs/>
                <w:sz w:val="18"/>
                <w:szCs w:val="18"/>
              </w:rPr>
              <w:t xml:space="preserve">Performance Management &amp; Development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4E2AF68" w14:textId="77777777" w:rsidR="0027744C" w:rsidRPr="0027744C" w:rsidRDefault="0027744C" w:rsidP="0027744C">
            <w:pPr>
              <w:rPr>
                <w:b/>
                <w:bCs/>
                <w:sz w:val="18"/>
                <w:szCs w:val="18"/>
              </w:rPr>
            </w:pPr>
            <w:r w:rsidRPr="0027744C">
              <w:rPr>
                <w:b/>
                <w:bCs/>
                <w:sz w:val="18"/>
                <w:szCs w:val="18"/>
              </w:rPr>
              <w:t xml:space="preserve">Staff performance may not be aligned with the Bank's strategic and operational objectives, underperformance may not be identified and rectified, opportunities for staff development may not be identified and supported, and good performance may not be recognised or inconsistently recognised. </w:t>
            </w:r>
          </w:p>
        </w:tc>
      </w:tr>
      <w:tr w:rsidR="0027744C" w14:paraId="02E914F2"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BF9A3C5" w14:textId="77777777" w:rsidR="0027744C" w:rsidRPr="0027744C" w:rsidRDefault="0027744C" w:rsidP="0027744C">
            <w:pPr>
              <w:rPr>
                <w:b/>
                <w:bCs/>
                <w:sz w:val="18"/>
                <w:szCs w:val="18"/>
              </w:rPr>
            </w:pPr>
            <w:r w:rsidRPr="0027744C">
              <w:rPr>
                <w:b/>
                <w:bCs/>
                <w:sz w:val="18"/>
                <w:szCs w:val="18"/>
              </w:rPr>
              <w:t xml:space="preserve">9.7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30CC370" w14:textId="77777777" w:rsidR="0027744C" w:rsidRPr="0027744C" w:rsidRDefault="0027744C" w:rsidP="0027744C">
            <w:pPr>
              <w:rPr>
                <w:b/>
                <w:bCs/>
                <w:sz w:val="18"/>
                <w:szCs w:val="18"/>
              </w:rPr>
            </w:pPr>
            <w:r w:rsidRPr="0027744C">
              <w:rPr>
                <w:b/>
                <w:bCs/>
                <w:sz w:val="18"/>
                <w:szCs w:val="18"/>
              </w:rPr>
              <w:t xml:space="preserve">Health &amp; Safety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BB277BB" w14:textId="77777777" w:rsidR="0027744C" w:rsidRPr="0027744C" w:rsidRDefault="0027744C" w:rsidP="0027744C">
            <w:pPr>
              <w:rPr>
                <w:b/>
                <w:bCs/>
                <w:sz w:val="18"/>
                <w:szCs w:val="18"/>
              </w:rPr>
            </w:pPr>
            <w:r w:rsidRPr="0027744C">
              <w:rPr>
                <w:b/>
                <w:bCs/>
                <w:sz w:val="18"/>
                <w:szCs w:val="18"/>
              </w:rPr>
              <w:t xml:space="preserve">Unsafe workplace environment or inadequate or ineffective employee health and wellbeing support. This includes e.g. general liability (Slip &amp; fall) and harm to colleagues, or visitors at the Bank's premises, due to exposure to a hazard or human losses or injury or death from external sources (e.g. terrorism, vandalism). </w:t>
            </w:r>
          </w:p>
        </w:tc>
      </w:tr>
      <w:tr w:rsidR="0027744C" w14:paraId="4E72538A"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40CDB57F" w14:textId="77777777" w:rsidR="0027744C" w:rsidRPr="0027744C" w:rsidRDefault="0027744C" w:rsidP="0027744C">
            <w:pPr>
              <w:rPr>
                <w:b/>
                <w:bCs/>
                <w:sz w:val="18"/>
                <w:szCs w:val="18"/>
              </w:rPr>
            </w:pPr>
            <w:r>
              <w:rPr>
                <w:b/>
                <w:bCs/>
                <w:sz w:val="18"/>
                <w:szCs w:val="18"/>
              </w:rPr>
              <w:t xml:space="preserve">10.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2EB88E5F" w14:textId="77777777" w:rsidR="0027744C" w:rsidRPr="0027744C" w:rsidRDefault="0027744C" w:rsidP="0027744C">
            <w:pPr>
              <w:rPr>
                <w:b/>
                <w:bCs/>
                <w:sz w:val="18"/>
                <w:szCs w:val="18"/>
              </w:rPr>
            </w:pPr>
            <w:r>
              <w:rPr>
                <w:b/>
                <w:bCs/>
                <w:sz w:val="18"/>
                <w:szCs w:val="18"/>
              </w:rPr>
              <w:t xml:space="preserve">Operational Resilience, Change and Execution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793AA60E" w14:textId="77777777" w:rsidR="0027744C" w:rsidRPr="0027744C" w:rsidRDefault="0027744C" w:rsidP="0027744C">
            <w:pPr>
              <w:rPr>
                <w:b/>
                <w:bCs/>
                <w:sz w:val="18"/>
                <w:szCs w:val="18"/>
              </w:rPr>
            </w:pPr>
            <w:r>
              <w:rPr>
                <w:b/>
                <w:bCs/>
                <w:sz w:val="18"/>
                <w:szCs w:val="18"/>
              </w:rPr>
              <w:t xml:space="preserve">Inadequate or failed internal or third-party processes, including execution errors, change management, and selection, management and performance of third parties </w:t>
            </w:r>
          </w:p>
        </w:tc>
      </w:tr>
      <w:tr w:rsidR="0027744C" w14:paraId="58696F59"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02F92E0" w14:textId="77777777" w:rsidR="0027744C" w:rsidRPr="0027744C" w:rsidRDefault="0027744C" w:rsidP="0027744C">
            <w:pPr>
              <w:rPr>
                <w:b/>
                <w:bCs/>
                <w:sz w:val="18"/>
                <w:szCs w:val="18"/>
              </w:rPr>
            </w:pPr>
            <w:r w:rsidRPr="0027744C">
              <w:rPr>
                <w:b/>
                <w:bCs/>
                <w:sz w:val="18"/>
                <w:szCs w:val="18"/>
              </w:rPr>
              <w:t xml:space="preserve">10.1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C225811" w14:textId="77777777" w:rsidR="0027744C" w:rsidRPr="0027744C" w:rsidRDefault="0027744C" w:rsidP="0027744C">
            <w:pPr>
              <w:rPr>
                <w:b/>
                <w:bCs/>
                <w:sz w:val="18"/>
                <w:szCs w:val="18"/>
              </w:rPr>
            </w:pPr>
            <w:r w:rsidRPr="0027744C">
              <w:rPr>
                <w:b/>
                <w:bCs/>
                <w:sz w:val="18"/>
                <w:szCs w:val="18"/>
              </w:rPr>
              <w:t xml:space="preserve">Business Disruption and Resilience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C9962F7" w14:textId="77777777" w:rsidR="0027744C" w:rsidRPr="0027744C" w:rsidRDefault="0027744C" w:rsidP="0027744C">
            <w:pPr>
              <w:rPr>
                <w:b/>
                <w:bCs/>
                <w:sz w:val="18"/>
                <w:szCs w:val="18"/>
              </w:rPr>
            </w:pPr>
            <w:r w:rsidRPr="0027744C">
              <w:rPr>
                <w:b/>
                <w:bCs/>
                <w:sz w:val="18"/>
                <w:szCs w:val="18"/>
              </w:rPr>
              <w:t xml:space="preserve">The Bank's critical operational processes, client facing, or critical systems may be unavailable for a period of time. Possible causes may include failure of software or hardware, damage to infrastructure, telecommunications outages or utility service disruptions, natural disasters, political or social unrest. This includes disruption of a third party-service provider and damage to physical assets but excludes the impact of outages caused by cyber risk events. </w:t>
            </w:r>
          </w:p>
        </w:tc>
      </w:tr>
      <w:tr w:rsidR="0027744C" w14:paraId="44AC864D"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DF385F8" w14:textId="77777777" w:rsidR="0027744C" w:rsidRPr="0027744C" w:rsidRDefault="0027744C" w:rsidP="0027744C">
            <w:pPr>
              <w:rPr>
                <w:b/>
                <w:bCs/>
                <w:sz w:val="18"/>
                <w:szCs w:val="18"/>
              </w:rPr>
            </w:pPr>
            <w:r w:rsidRPr="0027744C">
              <w:rPr>
                <w:b/>
                <w:bCs/>
                <w:sz w:val="18"/>
                <w:szCs w:val="18"/>
              </w:rPr>
              <w:t xml:space="preserve">10.2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2674A25" w14:textId="77777777" w:rsidR="0027744C" w:rsidRPr="0027744C" w:rsidRDefault="0027744C" w:rsidP="0027744C">
            <w:pPr>
              <w:rPr>
                <w:b/>
                <w:bCs/>
                <w:sz w:val="18"/>
                <w:szCs w:val="18"/>
              </w:rPr>
            </w:pPr>
            <w:r w:rsidRPr="0027744C">
              <w:rPr>
                <w:b/>
                <w:bCs/>
                <w:sz w:val="18"/>
                <w:szCs w:val="18"/>
              </w:rPr>
              <w:t xml:space="preserve">Change Management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F94391E" w14:textId="77777777" w:rsidR="0027744C" w:rsidRPr="0027744C" w:rsidRDefault="0027744C" w:rsidP="0027744C">
            <w:pPr>
              <w:rPr>
                <w:b/>
                <w:bCs/>
                <w:sz w:val="18"/>
                <w:szCs w:val="18"/>
              </w:rPr>
            </w:pPr>
            <w:r w:rsidRPr="0027744C">
              <w:rPr>
                <w:b/>
                <w:bCs/>
                <w:sz w:val="18"/>
                <w:szCs w:val="18"/>
              </w:rPr>
              <w:t xml:space="preserve">Change initiatives are not mandated or approved, do not align with the Bank's strategy, do not achieve the intended outcomes or may not be completed on time, within budget and/or in line with defined requirements. </w:t>
            </w:r>
          </w:p>
        </w:tc>
      </w:tr>
      <w:tr w:rsidR="0027744C" w14:paraId="2BA0853C"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69C7F26" w14:textId="77777777" w:rsidR="0027744C" w:rsidRPr="0027744C" w:rsidRDefault="0027744C" w:rsidP="0027744C">
            <w:pPr>
              <w:rPr>
                <w:b/>
                <w:bCs/>
                <w:sz w:val="18"/>
                <w:szCs w:val="18"/>
              </w:rPr>
            </w:pPr>
            <w:r w:rsidRPr="0027744C">
              <w:rPr>
                <w:b/>
                <w:bCs/>
                <w:sz w:val="18"/>
                <w:szCs w:val="18"/>
              </w:rPr>
              <w:t xml:space="preserve">10.3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CC6898F" w14:textId="77777777" w:rsidR="0027744C" w:rsidRPr="0027744C" w:rsidRDefault="0027744C" w:rsidP="0027744C">
            <w:pPr>
              <w:rPr>
                <w:b/>
                <w:bCs/>
                <w:sz w:val="18"/>
                <w:szCs w:val="18"/>
              </w:rPr>
            </w:pPr>
            <w:r w:rsidRPr="0027744C">
              <w:rPr>
                <w:b/>
                <w:bCs/>
                <w:sz w:val="18"/>
                <w:szCs w:val="18"/>
              </w:rPr>
              <w:t xml:space="preserve">Procurement and Outsourcing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797E1A1" w14:textId="77777777" w:rsidR="0027744C" w:rsidRPr="0027744C" w:rsidRDefault="0027744C" w:rsidP="0027744C">
            <w:pPr>
              <w:rPr>
                <w:b/>
                <w:bCs/>
                <w:sz w:val="18"/>
                <w:szCs w:val="18"/>
              </w:rPr>
            </w:pPr>
            <w:r w:rsidRPr="0027744C">
              <w:rPr>
                <w:b/>
                <w:bCs/>
                <w:sz w:val="18"/>
                <w:szCs w:val="18"/>
              </w:rPr>
              <w:t xml:space="preserve">Inadequate selection, management and performance of third parties including third party service providers and outsourcing agreements, aggregators and charities that the Bank make donations to. This includes liquidation, ownership change or strategy changes of a third party and vendor disputes, but excludes litigation, which is assessed under PRT07.01 Legal risk. </w:t>
            </w:r>
          </w:p>
        </w:tc>
      </w:tr>
      <w:tr w:rsidR="0027744C" w14:paraId="3A1C7097"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BEF7875" w14:textId="77777777" w:rsidR="0027744C" w:rsidRPr="0027744C" w:rsidRDefault="0027744C" w:rsidP="0027744C">
            <w:pPr>
              <w:rPr>
                <w:b/>
                <w:bCs/>
                <w:sz w:val="18"/>
                <w:szCs w:val="18"/>
              </w:rPr>
            </w:pPr>
            <w:r w:rsidRPr="0027744C">
              <w:rPr>
                <w:b/>
                <w:bCs/>
                <w:sz w:val="18"/>
                <w:szCs w:val="18"/>
              </w:rPr>
              <w:lastRenderedPageBreak/>
              <w:t xml:space="preserve">10.4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CECD6C0" w14:textId="77777777" w:rsidR="0027744C" w:rsidRPr="0027744C" w:rsidRDefault="0027744C" w:rsidP="0027744C">
            <w:pPr>
              <w:rPr>
                <w:b/>
                <w:bCs/>
                <w:sz w:val="18"/>
                <w:szCs w:val="18"/>
              </w:rPr>
            </w:pPr>
            <w:r w:rsidRPr="0027744C">
              <w:rPr>
                <w:b/>
                <w:bCs/>
                <w:sz w:val="18"/>
                <w:szCs w:val="18"/>
              </w:rPr>
              <w:t xml:space="preserve">Process Design &amp; Execution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4F77112" w14:textId="77777777" w:rsidR="0027744C" w:rsidRPr="0027744C" w:rsidRDefault="0027744C" w:rsidP="0027744C">
            <w:pPr>
              <w:rPr>
                <w:b/>
                <w:bCs/>
                <w:sz w:val="18"/>
                <w:szCs w:val="18"/>
              </w:rPr>
            </w:pPr>
            <w:r w:rsidRPr="0027744C">
              <w:rPr>
                <w:b/>
                <w:bCs/>
                <w:sz w:val="18"/>
                <w:szCs w:val="18"/>
              </w:rPr>
              <w:t xml:space="preserve">Business processes produce unanticipated results due to inadequate process design or ineffective process execution. This risk includes unintentional human error, miscommunication, data entry errors, maintenance or loading error, missed deadlines or responsibility or delivery failure. </w:t>
            </w:r>
          </w:p>
        </w:tc>
      </w:tr>
      <w:tr w:rsidR="0027744C" w14:paraId="53A88729"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52520F01" w14:textId="77777777" w:rsidR="0027744C" w:rsidRPr="0027744C" w:rsidRDefault="0027744C" w:rsidP="0027744C">
            <w:pPr>
              <w:rPr>
                <w:b/>
                <w:bCs/>
                <w:sz w:val="18"/>
                <w:szCs w:val="18"/>
              </w:rPr>
            </w:pPr>
            <w:r>
              <w:rPr>
                <w:b/>
                <w:bCs/>
                <w:sz w:val="18"/>
                <w:szCs w:val="18"/>
              </w:rPr>
              <w:t xml:space="preserve">11.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31167C45" w14:textId="77777777" w:rsidR="0027744C" w:rsidRPr="0027744C" w:rsidRDefault="0027744C" w:rsidP="0027744C">
            <w:pPr>
              <w:rPr>
                <w:b/>
                <w:bCs/>
                <w:sz w:val="18"/>
                <w:szCs w:val="18"/>
              </w:rPr>
            </w:pPr>
            <w:r>
              <w:rPr>
                <w:b/>
                <w:bCs/>
                <w:sz w:val="18"/>
                <w:szCs w:val="18"/>
              </w:rPr>
              <w:t xml:space="preserve">Financial Crime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46AA33EA" w14:textId="77777777" w:rsidR="0027744C" w:rsidRPr="0027744C" w:rsidRDefault="0027744C" w:rsidP="0027744C">
            <w:pPr>
              <w:rPr>
                <w:b/>
                <w:bCs/>
                <w:sz w:val="18"/>
                <w:szCs w:val="18"/>
              </w:rPr>
            </w:pPr>
            <w:r>
              <w:rPr>
                <w:b/>
                <w:bCs/>
                <w:sz w:val="18"/>
                <w:szCs w:val="18"/>
              </w:rPr>
              <w:t xml:space="preserve">Engaging with or facilitating criminal conduct in breach of financial crime laws, rules and regulations. </w:t>
            </w:r>
          </w:p>
        </w:tc>
      </w:tr>
      <w:tr w:rsidR="0027744C" w14:paraId="2E87801B"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88C0426" w14:textId="77777777" w:rsidR="0027744C" w:rsidRPr="0027744C" w:rsidRDefault="0027744C" w:rsidP="0027744C">
            <w:pPr>
              <w:rPr>
                <w:b/>
                <w:bCs/>
                <w:sz w:val="18"/>
                <w:szCs w:val="18"/>
              </w:rPr>
            </w:pPr>
            <w:r w:rsidRPr="0027744C">
              <w:rPr>
                <w:b/>
                <w:bCs/>
                <w:sz w:val="18"/>
                <w:szCs w:val="18"/>
              </w:rPr>
              <w:t xml:space="preserve">11.1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E8813CD" w14:textId="77777777" w:rsidR="0027744C" w:rsidRPr="0027744C" w:rsidRDefault="0027744C" w:rsidP="0027744C">
            <w:pPr>
              <w:rPr>
                <w:b/>
                <w:bCs/>
                <w:sz w:val="18"/>
                <w:szCs w:val="18"/>
              </w:rPr>
            </w:pPr>
            <w:r w:rsidRPr="0027744C">
              <w:rPr>
                <w:b/>
                <w:bCs/>
                <w:sz w:val="18"/>
                <w:szCs w:val="18"/>
              </w:rPr>
              <w:t xml:space="preserve">Internal Fraud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56C6BD4" w14:textId="77777777" w:rsidR="0027744C" w:rsidRPr="0027744C" w:rsidRDefault="0027744C" w:rsidP="0027744C">
            <w:pPr>
              <w:rPr>
                <w:b/>
                <w:bCs/>
                <w:sz w:val="18"/>
                <w:szCs w:val="18"/>
              </w:rPr>
            </w:pPr>
            <w:r w:rsidRPr="0027744C">
              <w:rPr>
                <w:b/>
                <w:bCs/>
                <w:sz w:val="18"/>
                <w:szCs w:val="18"/>
              </w:rPr>
              <w:t xml:space="preserve">Acts intended to defraud, misappropriate property or circumvent regulations, the law or company policy (excluding diversity/ discrimination events), which involve at least one internal party. This includes collusion, intentional non-reporting of transactions, unauthorised transactions (with monetary loss), intentional misstatements, fraud (e.g. payment fraud, credit fraud, deposit fraud), theft, extortion, embezzlement, misappropriation of assets, malicious destruction of assets, forgery and account take-over. </w:t>
            </w:r>
          </w:p>
        </w:tc>
      </w:tr>
      <w:tr w:rsidR="0027744C" w14:paraId="0F537672"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6BD685E" w14:textId="77777777" w:rsidR="0027744C" w:rsidRPr="0027744C" w:rsidRDefault="0027744C" w:rsidP="0027744C">
            <w:pPr>
              <w:rPr>
                <w:b/>
                <w:bCs/>
                <w:sz w:val="18"/>
                <w:szCs w:val="18"/>
              </w:rPr>
            </w:pPr>
            <w:r w:rsidRPr="0027744C">
              <w:rPr>
                <w:b/>
                <w:bCs/>
                <w:sz w:val="18"/>
                <w:szCs w:val="18"/>
              </w:rPr>
              <w:t xml:space="preserve">11.2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B59B5AB" w14:textId="77777777" w:rsidR="0027744C" w:rsidRPr="0027744C" w:rsidRDefault="0027744C" w:rsidP="0027744C">
            <w:pPr>
              <w:rPr>
                <w:b/>
                <w:bCs/>
                <w:sz w:val="18"/>
                <w:szCs w:val="18"/>
              </w:rPr>
            </w:pPr>
            <w:r w:rsidRPr="0027744C">
              <w:rPr>
                <w:b/>
                <w:bCs/>
                <w:sz w:val="18"/>
                <w:szCs w:val="18"/>
              </w:rPr>
              <w:t xml:space="preserve">External Fraud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B9B1A97" w14:textId="77777777" w:rsidR="0027744C" w:rsidRPr="0027744C" w:rsidRDefault="0027744C" w:rsidP="0027744C">
            <w:pPr>
              <w:rPr>
                <w:b/>
                <w:bCs/>
                <w:sz w:val="18"/>
                <w:szCs w:val="18"/>
              </w:rPr>
            </w:pPr>
            <w:r w:rsidRPr="0027744C">
              <w:rPr>
                <w:b/>
                <w:bCs/>
                <w:sz w:val="18"/>
                <w:szCs w:val="18"/>
              </w:rPr>
              <w:t xml:space="preserve">Acts of a type intended to defraud, misappropriate property or circumvent the law, by a third party. This includes theft/robbery, forgery, theft of information (with monetary loss), malicious destruction or damage of assets, Authorised Push Payment (APP) fraud. </w:t>
            </w:r>
          </w:p>
        </w:tc>
      </w:tr>
      <w:tr w:rsidR="0027744C" w14:paraId="65D1607C"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1F4C542" w14:textId="77777777" w:rsidR="0027744C" w:rsidRPr="0027744C" w:rsidRDefault="0027744C" w:rsidP="0027744C">
            <w:pPr>
              <w:rPr>
                <w:b/>
                <w:bCs/>
                <w:sz w:val="18"/>
                <w:szCs w:val="18"/>
              </w:rPr>
            </w:pPr>
            <w:r w:rsidRPr="0027744C">
              <w:rPr>
                <w:b/>
                <w:bCs/>
                <w:sz w:val="18"/>
                <w:szCs w:val="18"/>
              </w:rPr>
              <w:t xml:space="preserve">11.3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6403ACF" w14:textId="77777777" w:rsidR="0027744C" w:rsidRPr="0027744C" w:rsidRDefault="0027744C" w:rsidP="0027744C">
            <w:pPr>
              <w:rPr>
                <w:b/>
                <w:bCs/>
                <w:sz w:val="18"/>
                <w:szCs w:val="18"/>
              </w:rPr>
            </w:pPr>
            <w:r w:rsidRPr="0027744C">
              <w:rPr>
                <w:b/>
                <w:bCs/>
                <w:sz w:val="18"/>
                <w:szCs w:val="18"/>
              </w:rPr>
              <w:t xml:space="preserve">Bribery &amp; Corruption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91CFC21" w14:textId="77777777" w:rsidR="0027744C" w:rsidRPr="0027744C" w:rsidRDefault="0027744C" w:rsidP="0027744C">
            <w:pPr>
              <w:rPr>
                <w:b/>
                <w:bCs/>
                <w:sz w:val="18"/>
                <w:szCs w:val="18"/>
              </w:rPr>
            </w:pPr>
            <w:r w:rsidRPr="0027744C">
              <w:rPr>
                <w:b/>
                <w:bCs/>
                <w:sz w:val="18"/>
                <w:szCs w:val="18"/>
              </w:rPr>
              <w:t xml:space="preserve">The Bank or any staff member bribing another person, accepting a bribe or bribing a foreign public official. This include the following actions; Promise to supply financial or other advantage to another person, intending to induce them to perform an improper function or activity, Rewarding a person for having conducted improper function or activity, Agreeing to, or receiving financial or other advantage in exchange for conducting improper function or activity, Promise to supply an incentive to public officials intended to influence them in their capacity whether foreign or domestic, Knowingly promising an incentive to ease or expediate a routine procedure. </w:t>
            </w:r>
          </w:p>
        </w:tc>
      </w:tr>
      <w:tr w:rsidR="0027744C" w14:paraId="5429552F"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4B0476A" w14:textId="77777777" w:rsidR="0027744C" w:rsidRPr="0027744C" w:rsidRDefault="0027744C" w:rsidP="0027744C">
            <w:pPr>
              <w:rPr>
                <w:b/>
                <w:bCs/>
                <w:sz w:val="18"/>
                <w:szCs w:val="18"/>
              </w:rPr>
            </w:pPr>
            <w:r w:rsidRPr="0027744C">
              <w:rPr>
                <w:b/>
                <w:bCs/>
                <w:sz w:val="18"/>
                <w:szCs w:val="18"/>
              </w:rPr>
              <w:t xml:space="preserve">11.4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9B088B1" w14:textId="77777777" w:rsidR="0027744C" w:rsidRPr="0027744C" w:rsidRDefault="0027744C" w:rsidP="0027744C">
            <w:pPr>
              <w:rPr>
                <w:b/>
                <w:bCs/>
                <w:sz w:val="18"/>
                <w:szCs w:val="18"/>
              </w:rPr>
            </w:pPr>
            <w:r w:rsidRPr="0027744C">
              <w:rPr>
                <w:b/>
                <w:bCs/>
                <w:sz w:val="18"/>
                <w:szCs w:val="18"/>
              </w:rPr>
              <w:t xml:space="preserve">Money Laundering &amp; Terrorist Financing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478F0AD" w14:textId="77777777" w:rsidR="0027744C" w:rsidRPr="0027744C" w:rsidRDefault="0027744C" w:rsidP="0027744C">
            <w:pPr>
              <w:rPr>
                <w:b/>
                <w:bCs/>
                <w:sz w:val="18"/>
                <w:szCs w:val="18"/>
              </w:rPr>
            </w:pPr>
            <w:r w:rsidRPr="0027744C">
              <w:rPr>
                <w:b/>
                <w:bCs/>
                <w:sz w:val="18"/>
                <w:szCs w:val="18"/>
              </w:rPr>
              <w:t xml:space="preserve">The Bank's products or services being abused to facilitate money laundering or terrorist financing. This includes inadequate or ineffective Anti Money Laundering and Terrorist Financing governance and control processes. </w:t>
            </w:r>
          </w:p>
        </w:tc>
      </w:tr>
      <w:tr w:rsidR="0027744C" w14:paraId="55B00725"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068FF93" w14:textId="77777777" w:rsidR="0027744C" w:rsidRPr="0027744C" w:rsidRDefault="0027744C" w:rsidP="0027744C">
            <w:pPr>
              <w:rPr>
                <w:b/>
                <w:bCs/>
                <w:sz w:val="18"/>
                <w:szCs w:val="18"/>
              </w:rPr>
            </w:pPr>
            <w:r w:rsidRPr="0027744C">
              <w:rPr>
                <w:b/>
                <w:bCs/>
                <w:sz w:val="18"/>
                <w:szCs w:val="18"/>
              </w:rPr>
              <w:t xml:space="preserve">11.5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7218345" w14:textId="77777777" w:rsidR="0027744C" w:rsidRPr="0027744C" w:rsidRDefault="0027744C" w:rsidP="0027744C">
            <w:pPr>
              <w:rPr>
                <w:b/>
                <w:bCs/>
                <w:sz w:val="18"/>
                <w:szCs w:val="18"/>
              </w:rPr>
            </w:pPr>
            <w:r w:rsidRPr="0027744C">
              <w:rPr>
                <w:b/>
                <w:bCs/>
                <w:sz w:val="18"/>
                <w:szCs w:val="18"/>
              </w:rPr>
              <w:t xml:space="preserve">Sanctions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1BB5B1E1" w14:textId="77777777" w:rsidR="0027744C" w:rsidRPr="0027744C" w:rsidRDefault="0027744C" w:rsidP="0027744C">
            <w:pPr>
              <w:rPr>
                <w:b/>
                <w:bCs/>
                <w:sz w:val="18"/>
                <w:szCs w:val="18"/>
              </w:rPr>
            </w:pPr>
            <w:r w:rsidRPr="0027744C">
              <w:rPr>
                <w:b/>
                <w:bCs/>
                <w:sz w:val="18"/>
                <w:szCs w:val="18"/>
              </w:rPr>
              <w:t xml:space="preserve">The Bank's products or services being provided to sanctioned individuals or entities or used to facilitate transactions with entities or individuals in sanctioned jurisdictions. This includes inadequate governance, or controls processes to manage risk associated with Politically Exposed Persons. </w:t>
            </w:r>
          </w:p>
        </w:tc>
      </w:tr>
      <w:tr w:rsidR="0027744C" w14:paraId="7321F796"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55F2E2D" w14:textId="77777777" w:rsidR="0027744C" w:rsidRPr="0027744C" w:rsidRDefault="0027744C" w:rsidP="0027744C">
            <w:pPr>
              <w:rPr>
                <w:b/>
                <w:bCs/>
                <w:sz w:val="18"/>
                <w:szCs w:val="18"/>
              </w:rPr>
            </w:pPr>
            <w:r w:rsidRPr="0027744C">
              <w:rPr>
                <w:b/>
                <w:bCs/>
                <w:sz w:val="18"/>
                <w:szCs w:val="18"/>
              </w:rPr>
              <w:t xml:space="preserve">11.6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F7B4785" w14:textId="77777777" w:rsidR="0027744C" w:rsidRPr="0027744C" w:rsidRDefault="0027744C" w:rsidP="0027744C">
            <w:pPr>
              <w:rPr>
                <w:b/>
                <w:bCs/>
                <w:sz w:val="18"/>
                <w:szCs w:val="18"/>
              </w:rPr>
            </w:pPr>
            <w:r w:rsidRPr="0027744C">
              <w:rPr>
                <w:b/>
                <w:bCs/>
                <w:sz w:val="18"/>
                <w:szCs w:val="18"/>
              </w:rPr>
              <w:t xml:space="preserve">Tax Evasion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773849E" w14:textId="77777777" w:rsidR="0027744C" w:rsidRPr="0027744C" w:rsidRDefault="0027744C" w:rsidP="0027744C">
            <w:pPr>
              <w:rPr>
                <w:b/>
                <w:bCs/>
                <w:sz w:val="18"/>
                <w:szCs w:val="18"/>
              </w:rPr>
            </w:pPr>
            <w:r w:rsidRPr="0027744C">
              <w:rPr>
                <w:b/>
                <w:bCs/>
                <w:sz w:val="18"/>
                <w:szCs w:val="18"/>
              </w:rPr>
              <w:t xml:space="preserve">The Bank undertaking or facilitating transactions which are designed to achieve tax results that are contrary to the intention of tax legislation. Activities may include: Engaging in any form of facilitating UK or foreign tax evasion, Aiding, abetting or counselling any person or procuring the commission of a UK / foreign tax evasion offence by another person, Failing to promptly report any request or demand from any third party to facilitate the fraudulent evasion of tax by another person, Engaging in any other activity that might lead to a breach of the Bank' Tax transparency Policy. </w:t>
            </w:r>
          </w:p>
        </w:tc>
      </w:tr>
      <w:tr w:rsidR="0027744C" w14:paraId="45753F00"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74B3607D" w14:textId="77777777" w:rsidR="0027744C" w:rsidRPr="0027744C" w:rsidRDefault="0027744C" w:rsidP="0027744C">
            <w:pPr>
              <w:rPr>
                <w:b/>
                <w:bCs/>
                <w:sz w:val="18"/>
                <w:szCs w:val="18"/>
              </w:rPr>
            </w:pPr>
            <w:r>
              <w:rPr>
                <w:b/>
                <w:bCs/>
                <w:sz w:val="18"/>
                <w:szCs w:val="18"/>
              </w:rPr>
              <w:lastRenderedPageBreak/>
              <w:t xml:space="preserve">12.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2089940C" w14:textId="77777777" w:rsidR="0027744C" w:rsidRPr="0027744C" w:rsidRDefault="0027744C" w:rsidP="0027744C">
            <w:pPr>
              <w:rPr>
                <w:b/>
                <w:bCs/>
                <w:sz w:val="18"/>
                <w:szCs w:val="18"/>
              </w:rPr>
            </w:pPr>
            <w:r>
              <w:rPr>
                <w:b/>
                <w:bCs/>
                <w:sz w:val="18"/>
                <w:szCs w:val="18"/>
              </w:rPr>
              <w:t xml:space="preserve">Information Technology &amp; Cyber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590154EB" w14:textId="77777777" w:rsidR="0027744C" w:rsidRPr="0027744C" w:rsidRDefault="0027744C" w:rsidP="0027744C">
            <w:pPr>
              <w:rPr>
                <w:b/>
                <w:bCs/>
                <w:sz w:val="18"/>
                <w:szCs w:val="18"/>
              </w:rPr>
            </w:pPr>
            <w:r>
              <w:rPr>
                <w:b/>
                <w:bCs/>
                <w:sz w:val="18"/>
                <w:szCs w:val="18"/>
              </w:rPr>
              <w:t xml:space="preserve">Inadequate or inappropriate provision of technology services or compromise of the confidentiality, integrity or availability of information. </w:t>
            </w:r>
          </w:p>
        </w:tc>
      </w:tr>
      <w:tr w:rsidR="0027744C" w14:paraId="596174F6"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8481CF8" w14:textId="77777777" w:rsidR="0027744C" w:rsidRPr="0027744C" w:rsidRDefault="0027744C" w:rsidP="0027744C">
            <w:pPr>
              <w:rPr>
                <w:b/>
                <w:bCs/>
                <w:sz w:val="18"/>
                <w:szCs w:val="18"/>
              </w:rPr>
            </w:pPr>
            <w:r w:rsidRPr="0027744C">
              <w:rPr>
                <w:b/>
                <w:bCs/>
                <w:sz w:val="18"/>
                <w:szCs w:val="18"/>
              </w:rPr>
              <w:t xml:space="preserve">12.1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18C2D02" w14:textId="77777777" w:rsidR="0027744C" w:rsidRPr="0027744C" w:rsidRDefault="0027744C" w:rsidP="0027744C">
            <w:pPr>
              <w:rPr>
                <w:b/>
                <w:bCs/>
                <w:sz w:val="18"/>
                <w:szCs w:val="18"/>
              </w:rPr>
            </w:pPr>
            <w:r w:rsidRPr="0027744C">
              <w:rPr>
                <w:b/>
                <w:bCs/>
                <w:sz w:val="18"/>
                <w:szCs w:val="18"/>
              </w:rPr>
              <w:t xml:space="preserve">Information Technology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9A79A8B" w14:textId="77777777" w:rsidR="0027744C" w:rsidRPr="0027744C" w:rsidRDefault="0027744C" w:rsidP="0027744C">
            <w:pPr>
              <w:rPr>
                <w:b/>
                <w:bCs/>
                <w:sz w:val="18"/>
                <w:szCs w:val="18"/>
              </w:rPr>
            </w:pPr>
            <w:r w:rsidRPr="0027744C">
              <w:rPr>
                <w:b/>
                <w:bCs/>
                <w:sz w:val="18"/>
                <w:szCs w:val="18"/>
              </w:rPr>
              <w:t xml:space="preserve">Technology that is inadequate or inappropriate to support business operations. This includes inadequate technology solutions, architecture and support, incompatible/unsupported technologies, ineffective software licensing/licensing management, unauthorised technology changes and system mis-operation. This covers hardware, software and network/IT infrastructure supported in-house or through contracted services such as Platform as a Service (PaaS), Software as a </w:t>
            </w:r>
            <w:proofErr w:type="gramStart"/>
            <w:r w:rsidRPr="0027744C">
              <w:rPr>
                <w:b/>
                <w:bCs/>
                <w:sz w:val="18"/>
                <w:szCs w:val="18"/>
              </w:rPr>
              <w:t>Service (SaaS) agreements</w:t>
            </w:r>
            <w:proofErr w:type="gramEnd"/>
            <w:r w:rsidRPr="0027744C">
              <w:rPr>
                <w:b/>
                <w:bCs/>
                <w:sz w:val="18"/>
                <w:szCs w:val="18"/>
              </w:rPr>
              <w:t xml:space="preserve">. </w:t>
            </w:r>
          </w:p>
        </w:tc>
      </w:tr>
      <w:tr w:rsidR="0027744C" w14:paraId="6B2C1365"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8BC8B3B" w14:textId="77777777" w:rsidR="0027744C" w:rsidRPr="0027744C" w:rsidRDefault="0027744C" w:rsidP="0027744C">
            <w:pPr>
              <w:rPr>
                <w:b/>
                <w:bCs/>
                <w:sz w:val="18"/>
                <w:szCs w:val="18"/>
              </w:rPr>
            </w:pPr>
            <w:r w:rsidRPr="0027744C">
              <w:rPr>
                <w:b/>
                <w:bCs/>
                <w:sz w:val="18"/>
                <w:szCs w:val="18"/>
              </w:rPr>
              <w:t xml:space="preserve">12.2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4363453" w14:textId="77777777" w:rsidR="0027744C" w:rsidRPr="0027744C" w:rsidRDefault="0027744C" w:rsidP="0027744C">
            <w:pPr>
              <w:rPr>
                <w:b/>
                <w:bCs/>
                <w:sz w:val="18"/>
                <w:szCs w:val="18"/>
              </w:rPr>
            </w:pPr>
            <w:r w:rsidRPr="0027744C">
              <w:rPr>
                <w:b/>
                <w:bCs/>
                <w:sz w:val="18"/>
                <w:szCs w:val="18"/>
              </w:rPr>
              <w:t xml:space="preserve">Information Security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E81F81F" w14:textId="77777777" w:rsidR="0027744C" w:rsidRPr="0027744C" w:rsidRDefault="0027744C" w:rsidP="0027744C">
            <w:pPr>
              <w:rPr>
                <w:b/>
                <w:bCs/>
                <w:sz w:val="18"/>
                <w:szCs w:val="18"/>
              </w:rPr>
            </w:pPr>
            <w:r w:rsidRPr="0027744C">
              <w:rPr>
                <w:b/>
                <w:bCs/>
                <w:sz w:val="18"/>
                <w:szCs w:val="18"/>
              </w:rPr>
              <w:t xml:space="preserve">Unauthorised access, use, disclosure, disruption, modification or destruction of information and/or systems by external parties using electronic means. This includes non-compliance with mandatory industry standards such as PCI DSS and all forms of cyber-attack including Distributed Denial of Service (DDOS), hacking, phishing (all types), malware, ransomware, social engineering, MITM (man in the middle) attack, worms, drive by downloads and advanced persistent threats. </w:t>
            </w:r>
          </w:p>
        </w:tc>
      </w:tr>
      <w:tr w:rsidR="0027744C" w14:paraId="469B198A"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4BDC7EC" w14:textId="77777777" w:rsidR="0027744C" w:rsidRPr="0027744C" w:rsidRDefault="0027744C" w:rsidP="0027744C">
            <w:pPr>
              <w:rPr>
                <w:b/>
                <w:bCs/>
                <w:sz w:val="18"/>
                <w:szCs w:val="18"/>
              </w:rPr>
            </w:pPr>
            <w:r w:rsidRPr="0027744C">
              <w:rPr>
                <w:b/>
                <w:bCs/>
                <w:sz w:val="18"/>
                <w:szCs w:val="18"/>
              </w:rPr>
              <w:t xml:space="preserve">12.3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FAB4FC5" w14:textId="77777777" w:rsidR="0027744C" w:rsidRPr="0027744C" w:rsidRDefault="0027744C" w:rsidP="0027744C">
            <w:pPr>
              <w:rPr>
                <w:b/>
                <w:bCs/>
                <w:sz w:val="18"/>
                <w:szCs w:val="18"/>
              </w:rPr>
            </w:pPr>
            <w:r w:rsidRPr="0027744C">
              <w:rPr>
                <w:b/>
                <w:bCs/>
                <w:sz w:val="18"/>
                <w:szCs w:val="18"/>
              </w:rPr>
              <w:t xml:space="preserve">Data Management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6A202AC1" w14:textId="77777777" w:rsidR="0027744C" w:rsidRPr="0027744C" w:rsidRDefault="0027744C" w:rsidP="0027744C">
            <w:pPr>
              <w:rPr>
                <w:b/>
                <w:bCs/>
                <w:sz w:val="18"/>
                <w:szCs w:val="18"/>
              </w:rPr>
            </w:pPr>
            <w:r w:rsidRPr="0027744C">
              <w:rPr>
                <w:b/>
                <w:bCs/>
                <w:sz w:val="18"/>
                <w:szCs w:val="18"/>
              </w:rPr>
              <w:t xml:space="preserve">Data may be incomplete, inaccurate, inappropriately used, stored or destroyed. This includes inappropriate or ineffective maintenance of data integrity, confidentiality and availability in transit, at rest (stored, including archiving and back up) or handling (processing) and the safe destruction of data in electronic or physical format. </w:t>
            </w:r>
          </w:p>
        </w:tc>
      </w:tr>
      <w:tr w:rsidR="0027744C" w14:paraId="50846A4E"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19963700" w14:textId="77777777" w:rsidR="0027744C" w:rsidRPr="0027744C" w:rsidRDefault="0027744C" w:rsidP="0027744C">
            <w:pPr>
              <w:rPr>
                <w:b/>
                <w:bCs/>
                <w:sz w:val="18"/>
                <w:szCs w:val="18"/>
              </w:rPr>
            </w:pPr>
            <w:r>
              <w:rPr>
                <w:b/>
                <w:bCs/>
                <w:sz w:val="18"/>
                <w:szCs w:val="18"/>
              </w:rPr>
              <w:t xml:space="preserve">13.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32C8A9AE" w14:textId="77777777" w:rsidR="0027744C" w:rsidRPr="0027744C" w:rsidRDefault="0027744C" w:rsidP="0027744C">
            <w:pPr>
              <w:rPr>
                <w:b/>
                <w:bCs/>
                <w:sz w:val="18"/>
                <w:szCs w:val="18"/>
              </w:rPr>
            </w:pPr>
            <w:r>
              <w:rPr>
                <w:b/>
                <w:bCs/>
                <w:sz w:val="18"/>
                <w:szCs w:val="18"/>
              </w:rPr>
              <w:t xml:space="preserve">Financial Management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57225845" w14:textId="77777777" w:rsidR="0027744C" w:rsidRPr="0027744C" w:rsidRDefault="0027744C" w:rsidP="0027744C">
            <w:pPr>
              <w:rPr>
                <w:b/>
                <w:bCs/>
                <w:sz w:val="18"/>
                <w:szCs w:val="18"/>
              </w:rPr>
            </w:pPr>
            <w:r>
              <w:rPr>
                <w:b/>
                <w:bCs/>
                <w:sz w:val="18"/>
                <w:szCs w:val="18"/>
              </w:rPr>
              <w:t xml:space="preserve">Inaccurate or incomplete financial information, loss or misuse of financial resources, inaccurate, incomplete or untimely financial reporting and non-compliance with laws, regulations and accounting standards. </w:t>
            </w:r>
          </w:p>
        </w:tc>
      </w:tr>
      <w:tr w:rsidR="0027744C" w14:paraId="6CE2D8C0"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4FE1E701" w14:textId="77777777" w:rsidR="0027744C" w:rsidRPr="0027744C" w:rsidRDefault="0027744C" w:rsidP="0027744C">
            <w:pPr>
              <w:rPr>
                <w:b/>
                <w:bCs/>
                <w:sz w:val="18"/>
                <w:szCs w:val="18"/>
              </w:rPr>
            </w:pPr>
            <w:r w:rsidRPr="0027744C">
              <w:rPr>
                <w:b/>
                <w:bCs/>
                <w:sz w:val="18"/>
                <w:szCs w:val="18"/>
              </w:rPr>
              <w:t xml:space="preserve">13.1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867FEAF" w14:textId="77777777" w:rsidR="0027744C" w:rsidRPr="0027744C" w:rsidRDefault="0027744C" w:rsidP="0027744C">
            <w:pPr>
              <w:rPr>
                <w:b/>
                <w:bCs/>
                <w:sz w:val="18"/>
                <w:szCs w:val="18"/>
              </w:rPr>
            </w:pPr>
            <w:r w:rsidRPr="0027744C">
              <w:rPr>
                <w:b/>
                <w:bCs/>
                <w:sz w:val="18"/>
                <w:szCs w:val="18"/>
              </w:rPr>
              <w:t xml:space="preserve">Financial Control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38A259F0" w14:textId="77777777" w:rsidR="0027744C" w:rsidRPr="0027744C" w:rsidRDefault="0027744C" w:rsidP="0027744C">
            <w:pPr>
              <w:rPr>
                <w:b/>
                <w:bCs/>
                <w:sz w:val="18"/>
                <w:szCs w:val="18"/>
              </w:rPr>
            </w:pPr>
            <w:r w:rsidRPr="0027744C">
              <w:rPr>
                <w:b/>
                <w:bCs/>
                <w:sz w:val="18"/>
                <w:szCs w:val="18"/>
              </w:rPr>
              <w:t xml:space="preserve">Inaccurate or incomplete financial information, loss or misuse of financial resources and non-compliance with laws, regulations and accounting standards. This includes expenditure, including expense claims, not appropriately authorised or commercially and financially in the Bank's best interest, but excludes financial reporting. </w:t>
            </w:r>
          </w:p>
        </w:tc>
      </w:tr>
      <w:tr w:rsidR="0027744C" w14:paraId="48D7E495"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7552E855" w14:textId="77777777" w:rsidR="0027744C" w:rsidRPr="0027744C" w:rsidRDefault="0027744C" w:rsidP="0027744C">
            <w:pPr>
              <w:rPr>
                <w:b/>
                <w:bCs/>
                <w:sz w:val="18"/>
                <w:szCs w:val="18"/>
              </w:rPr>
            </w:pPr>
            <w:r w:rsidRPr="0027744C">
              <w:rPr>
                <w:b/>
                <w:bCs/>
                <w:sz w:val="18"/>
                <w:szCs w:val="18"/>
              </w:rPr>
              <w:t xml:space="preserve">13.2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08A7FC18" w14:textId="77777777" w:rsidR="0027744C" w:rsidRPr="0027744C" w:rsidRDefault="0027744C" w:rsidP="0027744C">
            <w:pPr>
              <w:rPr>
                <w:b/>
                <w:bCs/>
                <w:sz w:val="18"/>
                <w:szCs w:val="18"/>
              </w:rPr>
            </w:pPr>
            <w:r w:rsidRPr="0027744C">
              <w:rPr>
                <w:b/>
                <w:bCs/>
                <w:sz w:val="18"/>
                <w:szCs w:val="18"/>
              </w:rPr>
              <w:t xml:space="preserve">Financial Reporting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F7ED7E5" w14:textId="77777777" w:rsidR="0027744C" w:rsidRPr="0027744C" w:rsidRDefault="0027744C" w:rsidP="0027744C">
            <w:pPr>
              <w:rPr>
                <w:b/>
                <w:bCs/>
                <w:sz w:val="18"/>
                <w:szCs w:val="18"/>
              </w:rPr>
            </w:pPr>
            <w:r w:rsidRPr="0027744C">
              <w:rPr>
                <w:b/>
                <w:bCs/>
                <w:sz w:val="18"/>
                <w:szCs w:val="18"/>
              </w:rPr>
              <w:t xml:space="preserve">Inaccurate, incomplete, or untimely financial reporting or missed regulatory reporting obligations. This includes management reporting, Regulatory Reporting, financial statements and disclosures. </w:t>
            </w:r>
          </w:p>
        </w:tc>
      </w:tr>
      <w:tr w:rsidR="0027744C" w14:paraId="77436109" w14:textId="77777777" w:rsidTr="0027744C">
        <w:tc>
          <w:tcPr>
            <w:tcW w:w="70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43D8E91" w14:textId="77777777" w:rsidR="0027744C" w:rsidRPr="0027744C" w:rsidRDefault="0027744C" w:rsidP="0027744C">
            <w:pPr>
              <w:rPr>
                <w:b/>
                <w:bCs/>
                <w:sz w:val="18"/>
                <w:szCs w:val="18"/>
              </w:rPr>
            </w:pPr>
            <w:r w:rsidRPr="0027744C">
              <w:rPr>
                <w:b/>
                <w:bCs/>
                <w:sz w:val="18"/>
                <w:szCs w:val="18"/>
              </w:rPr>
              <w:t xml:space="preserve">13.3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589343C4" w14:textId="77777777" w:rsidR="0027744C" w:rsidRPr="0027744C" w:rsidRDefault="0027744C" w:rsidP="0027744C">
            <w:pPr>
              <w:rPr>
                <w:b/>
                <w:bCs/>
                <w:sz w:val="18"/>
                <w:szCs w:val="18"/>
              </w:rPr>
            </w:pPr>
            <w:r w:rsidRPr="0027744C">
              <w:rPr>
                <w:b/>
                <w:bCs/>
                <w:sz w:val="18"/>
                <w:szCs w:val="18"/>
              </w:rPr>
              <w:t xml:space="preserve">Model Risk </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74" w:type="dxa"/>
              <w:left w:w="146" w:type="dxa"/>
              <w:bottom w:w="74" w:type="dxa"/>
              <w:right w:w="146" w:type="dxa"/>
            </w:tcMar>
          </w:tcPr>
          <w:p w14:paraId="249B900B" w14:textId="77777777" w:rsidR="0027744C" w:rsidRPr="0027744C" w:rsidRDefault="0027744C" w:rsidP="0027744C">
            <w:pPr>
              <w:rPr>
                <w:b/>
                <w:bCs/>
                <w:sz w:val="18"/>
                <w:szCs w:val="18"/>
              </w:rPr>
            </w:pPr>
            <w:r w:rsidRPr="0027744C">
              <w:rPr>
                <w:b/>
                <w:bCs/>
                <w:sz w:val="18"/>
                <w:szCs w:val="18"/>
              </w:rPr>
              <w:t xml:space="preserve">Models may not produce accurate, complete or relevant results or modelled outputs may not be used appropriately to inform business decisions. Possible causes may include model design flaws including methodological errors or inaccurate assumptions, input data may be incomplete, inaccurate or misinterpreted, flawed model implementation, inappropriate or incorrect use of the model, incorrect or inappropriate application or interpretation of model outputs or incorrect / incomplete mapping of data into models. </w:t>
            </w:r>
          </w:p>
        </w:tc>
      </w:tr>
      <w:tr w:rsidR="0027744C" w14:paraId="45E2CCDE" w14:textId="77777777" w:rsidTr="006F3279">
        <w:tc>
          <w:tcPr>
            <w:tcW w:w="70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1C85C483" w14:textId="77777777" w:rsidR="0027744C" w:rsidRPr="0027744C" w:rsidRDefault="0027744C" w:rsidP="0027744C">
            <w:pPr>
              <w:rPr>
                <w:b/>
                <w:bCs/>
                <w:sz w:val="18"/>
                <w:szCs w:val="18"/>
              </w:rPr>
            </w:pPr>
            <w:r>
              <w:rPr>
                <w:b/>
                <w:bCs/>
                <w:sz w:val="18"/>
                <w:szCs w:val="18"/>
              </w:rPr>
              <w:lastRenderedPageBreak/>
              <w:t xml:space="preserve">14. </w:t>
            </w:r>
          </w:p>
        </w:tc>
        <w:tc>
          <w:tcPr>
            <w:tcW w:w="1564"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52D0A3E4" w14:textId="77777777" w:rsidR="0027744C" w:rsidRPr="0027744C" w:rsidRDefault="0027744C" w:rsidP="0027744C">
            <w:pPr>
              <w:rPr>
                <w:b/>
                <w:bCs/>
                <w:sz w:val="18"/>
                <w:szCs w:val="18"/>
              </w:rPr>
            </w:pPr>
            <w:r>
              <w:rPr>
                <w:b/>
                <w:bCs/>
                <w:sz w:val="18"/>
                <w:szCs w:val="18"/>
              </w:rPr>
              <w:t xml:space="preserve">Sharia Non-Compliance Risk </w:t>
            </w:r>
          </w:p>
        </w:tc>
        <w:tc>
          <w:tcPr>
            <w:tcW w:w="6663" w:type="dxa"/>
            <w:tcBorders>
              <w:top w:val="single" w:sz="4" w:space="0" w:color="auto"/>
              <w:left w:val="single" w:sz="4" w:space="0" w:color="auto"/>
              <w:bottom w:val="single" w:sz="4" w:space="0" w:color="auto"/>
              <w:right w:val="single" w:sz="4" w:space="0" w:color="auto"/>
            </w:tcBorders>
            <w:shd w:val="clear" w:color="auto" w:fill="06B1D6" w:themeFill="accent1"/>
            <w:tcMar>
              <w:top w:w="74" w:type="dxa"/>
              <w:left w:w="146" w:type="dxa"/>
              <w:bottom w:w="74" w:type="dxa"/>
              <w:right w:w="146" w:type="dxa"/>
            </w:tcMar>
          </w:tcPr>
          <w:p w14:paraId="292C348D" w14:textId="77777777" w:rsidR="0027744C" w:rsidRPr="0027744C" w:rsidRDefault="0027744C" w:rsidP="0027744C">
            <w:pPr>
              <w:rPr>
                <w:b/>
                <w:bCs/>
                <w:sz w:val="18"/>
                <w:szCs w:val="18"/>
              </w:rPr>
            </w:pPr>
            <w:r>
              <w:rPr>
                <w:b/>
                <w:bCs/>
                <w:sz w:val="18"/>
                <w:szCs w:val="18"/>
              </w:rPr>
              <w:t xml:space="preserve">The Bank may not adhere with Sharia rules and principles established by the Bank's Sharia Supervisory Committee. This risk includes, but not limited to, the design and delivery of products and financial services, outsourcing arrangements and vendor management, marketing and communications, social responsibility activities including volunteering and donations, entertainment and expense payments </w:t>
            </w:r>
          </w:p>
        </w:tc>
      </w:tr>
    </w:tbl>
    <w:p w14:paraId="26441E6C" w14:textId="77777777" w:rsidR="008B31BA" w:rsidRPr="00CD11DE" w:rsidRDefault="008B31BA" w:rsidP="002610EE">
      <w:pPr>
        <w:spacing w:after="240" w:line="259" w:lineRule="auto"/>
        <w:rPr>
          <w:sz w:val="20"/>
          <w:szCs w:val="20"/>
        </w:rPr>
      </w:pPr>
    </w:p>
    <w:p w14:paraId="0B610666" w14:textId="77777777" w:rsidR="00183513" w:rsidRPr="00C62D72" w:rsidRDefault="00183513" w:rsidP="0023179E">
      <w:pPr>
        <w:pStyle w:val="Heading2"/>
        <w:rPr>
          <w:lang w:val="en-GB"/>
        </w:rPr>
      </w:pPr>
      <w:bookmarkStart w:id="136" w:name="_Toc120205999"/>
      <w:bookmarkStart w:id="137" w:name="_Toc201575413"/>
      <w:bookmarkStart w:id="138" w:name="_Ref57833823"/>
      <w:bookmarkStart w:id="139" w:name="_Toc120205998"/>
      <w:r w:rsidRPr="00C62D72">
        <w:rPr>
          <w:lang w:val="en-GB"/>
        </w:rPr>
        <w:t>Three Lines of Defence approach to risk management</w:t>
      </w:r>
      <w:bookmarkEnd w:id="136"/>
      <w:bookmarkEnd w:id="137"/>
    </w:p>
    <w:p w14:paraId="082E7F63" w14:textId="4BB17C75" w:rsidR="008C0387" w:rsidRPr="00CD11DE" w:rsidRDefault="008C0387" w:rsidP="008C0387">
      <w:pPr>
        <w:keepLines w:val="0"/>
        <w:spacing w:after="240" w:line="259" w:lineRule="auto"/>
        <w:rPr>
          <w:rFonts w:eastAsia="Times New Roman"/>
          <w:color w:val="auto"/>
          <w:sz w:val="20"/>
          <w:szCs w:val="20"/>
          <w:lang w:eastAsia="en-GB"/>
        </w:rPr>
      </w:pPr>
      <w:r w:rsidRPr="00CD11DE">
        <w:rPr>
          <w:rFonts w:eastAsia="Times New Roman"/>
          <w:color w:val="auto"/>
          <w:sz w:val="20"/>
          <w:szCs w:val="20"/>
          <w:lang w:eastAsia="en-GB"/>
        </w:rPr>
        <w:t>Whilst the Board is ultimately accountable for the Risk Management Framework, everyone in the Bank has responsibility for risk management. The Bank operates a Three Lines of Defence model in order to embed clear risk management roles and responsibilities. These are outlined as follows:</w:t>
      </w:r>
    </w:p>
    <w:p w14:paraId="7AD9B01C" w14:textId="77777777" w:rsidR="008C0387" w:rsidRPr="00CD11DE" w:rsidRDefault="008C0387" w:rsidP="008C0387">
      <w:pPr>
        <w:keepLines w:val="0"/>
        <w:spacing w:after="240" w:line="259" w:lineRule="auto"/>
        <w:rPr>
          <w:rFonts w:eastAsia="Times New Roman"/>
          <w:color w:val="auto"/>
          <w:sz w:val="20"/>
          <w:szCs w:val="20"/>
          <w:lang w:eastAsia="en-GB"/>
        </w:rPr>
      </w:pPr>
      <w:r w:rsidRPr="00CD11DE">
        <w:rPr>
          <w:rFonts w:eastAsia="Times New Roman"/>
          <w:b/>
          <w:bCs/>
          <w:color w:val="auto"/>
          <w:sz w:val="20"/>
          <w:szCs w:val="20"/>
          <w:lang w:eastAsia="en-GB"/>
        </w:rPr>
        <w:t>First line of defence</w:t>
      </w:r>
      <w:r w:rsidRPr="00CD11DE">
        <w:rPr>
          <w:rFonts w:eastAsia="Times New Roman"/>
          <w:color w:val="auto"/>
          <w:sz w:val="20"/>
          <w:szCs w:val="20"/>
          <w:lang w:eastAsia="en-GB"/>
        </w:rPr>
        <w:t xml:space="preserve">: Line management within each business area is responsible for the identification, measurement, monitoring, mitigation, management and reporting of the risks within the Bank’s risk appetite, ensuring appropriate controls are in place and operating effectively.  </w:t>
      </w:r>
    </w:p>
    <w:p w14:paraId="0C461664" w14:textId="77777777" w:rsidR="008C0387" w:rsidRPr="00CD11DE" w:rsidRDefault="008C0387" w:rsidP="008C0387">
      <w:pPr>
        <w:keepLines w:val="0"/>
        <w:spacing w:after="240" w:line="264" w:lineRule="auto"/>
        <w:rPr>
          <w:rFonts w:eastAsia="Times New Roman"/>
          <w:color w:val="auto"/>
          <w:sz w:val="20"/>
          <w:szCs w:val="20"/>
          <w:lang w:eastAsia="en-GB"/>
        </w:rPr>
      </w:pPr>
      <w:r w:rsidRPr="00CD11DE">
        <w:rPr>
          <w:rFonts w:eastAsia="Times New Roman"/>
          <w:b/>
          <w:bCs/>
          <w:color w:val="auto"/>
          <w:sz w:val="20"/>
          <w:szCs w:val="20"/>
          <w:lang w:eastAsia="en-GB"/>
        </w:rPr>
        <w:t>Second line of defence</w:t>
      </w:r>
      <w:r w:rsidRPr="00CD11DE">
        <w:rPr>
          <w:rFonts w:eastAsia="Times New Roman"/>
          <w:color w:val="auto"/>
          <w:sz w:val="20"/>
          <w:szCs w:val="20"/>
          <w:lang w:eastAsia="en-GB"/>
        </w:rPr>
        <w:t>: Risk and Compliance functions provide risk management expertise and challenge managers and staff in their performance of risk management activities through independent reviews, monitoring and testing.</w:t>
      </w:r>
    </w:p>
    <w:p w14:paraId="77D5A350" w14:textId="77777777" w:rsidR="008C0387" w:rsidRPr="00CD11DE" w:rsidRDefault="008C0387" w:rsidP="008C0387">
      <w:pPr>
        <w:keepLines w:val="0"/>
        <w:spacing w:after="240" w:line="264" w:lineRule="auto"/>
        <w:rPr>
          <w:rFonts w:eastAsia="Times New Roman"/>
          <w:color w:val="auto"/>
          <w:sz w:val="20"/>
          <w:szCs w:val="20"/>
          <w:lang w:eastAsia="en-GB"/>
        </w:rPr>
      </w:pPr>
      <w:r w:rsidRPr="00CD11DE">
        <w:rPr>
          <w:rFonts w:eastAsia="Times New Roman"/>
          <w:color w:val="auto"/>
          <w:sz w:val="20"/>
          <w:szCs w:val="20"/>
          <w:lang w:eastAsia="en-GB"/>
        </w:rPr>
        <w:t>Specific Sharia compliance monitoring activities performed by the Sharia Compliance Department fall within the second line of defence. The Sharia Compliance Department also conduct an independent Sharia audit on an annual basis to provide assurance to the Sharia Supervisory Committee (‘SSC’) on the appropriateness and operational effectiveness of Sharia governance, Sharia non-compliance risk management and internal Sharia compliance controls.</w:t>
      </w:r>
    </w:p>
    <w:p w14:paraId="59E71B9D" w14:textId="77777777" w:rsidR="008C0387" w:rsidRPr="00CD11DE" w:rsidRDefault="008C0387" w:rsidP="008C0387">
      <w:pPr>
        <w:keepLines w:val="0"/>
        <w:spacing w:after="240" w:line="259" w:lineRule="auto"/>
        <w:rPr>
          <w:rFonts w:eastAsia="Times New Roman"/>
          <w:color w:val="auto"/>
          <w:sz w:val="20"/>
          <w:szCs w:val="20"/>
          <w:lang w:eastAsia="en-GB"/>
        </w:rPr>
      </w:pPr>
      <w:r w:rsidRPr="00CD11DE">
        <w:rPr>
          <w:rFonts w:eastAsia="Times New Roman"/>
          <w:b/>
          <w:bCs/>
          <w:color w:val="auto"/>
          <w:sz w:val="20"/>
          <w:szCs w:val="20"/>
          <w:lang w:eastAsia="en-GB"/>
        </w:rPr>
        <w:t>Third line of defence</w:t>
      </w:r>
      <w:r w:rsidRPr="00CD11DE">
        <w:rPr>
          <w:rFonts w:eastAsia="Times New Roman"/>
          <w:color w:val="auto"/>
          <w:sz w:val="20"/>
          <w:szCs w:val="20"/>
          <w:lang w:eastAsia="en-GB"/>
        </w:rPr>
        <w:t>: The Bank’s Internal Audit function is responsible for independently reviewing the effectiveness of the risk management structure and providing assurance on the effectiveness of internal controls across both the first and the second line of defence.</w:t>
      </w:r>
    </w:p>
    <w:p w14:paraId="05B0E0D5" w14:textId="7D880770" w:rsidR="008C0387" w:rsidRPr="00CD11DE" w:rsidRDefault="008C0387" w:rsidP="008C0387">
      <w:pPr>
        <w:spacing w:after="240" w:line="259" w:lineRule="auto"/>
        <w:rPr>
          <w:rFonts w:eastAsia="Times New Roman"/>
          <w:color w:val="auto"/>
          <w:sz w:val="20"/>
          <w:szCs w:val="20"/>
          <w:lang w:eastAsia="en-GB"/>
        </w:rPr>
      </w:pPr>
      <w:r w:rsidRPr="00CD11DE">
        <w:rPr>
          <w:rFonts w:eastAsia="Times New Roman"/>
          <w:color w:val="auto"/>
          <w:sz w:val="20"/>
          <w:szCs w:val="20"/>
          <w:lang w:eastAsia="en-GB"/>
        </w:rPr>
        <w:t xml:space="preserve">The Internal Audit function reports directly to the Chair of the BAC. The BAC approves the internal audit work programme and receives reports on the results of the work performed. The Internal Audit function is also supported by resources from the </w:t>
      </w:r>
      <w:r w:rsidR="00AF1161" w:rsidRPr="00AF1161">
        <w:rPr>
          <w:sz w:val="20"/>
          <w:szCs w:val="20"/>
        </w:rPr>
        <w:t>AlRayan Bank QPSC</w:t>
      </w:r>
      <w:r w:rsidR="00AF1161" w:rsidRPr="00CD11DE" w:rsidDel="00AF1161">
        <w:rPr>
          <w:rFonts w:eastAsia="Times New Roman"/>
          <w:color w:val="auto"/>
          <w:sz w:val="20"/>
          <w:szCs w:val="20"/>
          <w:lang w:eastAsia="en-GB"/>
        </w:rPr>
        <w:t xml:space="preserve"> </w:t>
      </w:r>
      <w:r w:rsidRPr="00CD11DE">
        <w:rPr>
          <w:rFonts w:eastAsia="Times New Roman"/>
          <w:color w:val="auto"/>
          <w:sz w:val="20"/>
          <w:szCs w:val="20"/>
          <w:lang w:eastAsia="en-GB"/>
        </w:rPr>
        <w:t xml:space="preserve">Internal Audit function on certain audits, as and when required. </w:t>
      </w:r>
    </w:p>
    <w:p w14:paraId="24AF961A" w14:textId="74A7082C" w:rsidR="0000514A" w:rsidRPr="00C62D72" w:rsidRDefault="002610EE" w:rsidP="0023179E">
      <w:pPr>
        <w:pStyle w:val="Heading2"/>
        <w:rPr>
          <w:lang w:val="en-GB"/>
        </w:rPr>
      </w:pPr>
      <w:bookmarkStart w:id="140" w:name="_Toc168322079"/>
      <w:bookmarkStart w:id="141" w:name="_Toc168322218"/>
      <w:bookmarkStart w:id="142" w:name="_Toc168322357"/>
      <w:bookmarkStart w:id="143" w:name="_Toc168330686"/>
      <w:bookmarkStart w:id="144" w:name="_Toc168331489"/>
      <w:bookmarkStart w:id="145" w:name="_Toc168331628"/>
      <w:bookmarkStart w:id="146" w:name="_Toc168322080"/>
      <w:bookmarkStart w:id="147" w:name="_Toc168322219"/>
      <w:bookmarkStart w:id="148" w:name="_Toc168322358"/>
      <w:bookmarkStart w:id="149" w:name="_Toc168330687"/>
      <w:bookmarkStart w:id="150" w:name="_Toc168331490"/>
      <w:bookmarkStart w:id="151" w:name="_Toc168331629"/>
      <w:bookmarkStart w:id="152" w:name="_Toc168322081"/>
      <w:bookmarkStart w:id="153" w:name="_Toc168322220"/>
      <w:bookmarkStart w:id="154" w:name="_Toc168322359"/>
      <w:bookmarkStart w:id="155" w:name="_Toc168330688"/>
      <w:bookmarkStart w:id="156" w:name="_Toc168331491"/>
      <w:bookmarkStart w:id="157" w:name="_Toc168331630"/>
      <w:bookmarkStart w:id="158" w:name="_Toc168322082"/>
      <w:bookmarkStart w:id="159" w:name="_Toc168322221"/>
      <w:bookmarkStart w:id="160" w:name="_Toc168322360"/>
      <w:bookmarkStart w:id="161" w:name="_Toc168330689"/>
      <w:bookmarkStart w:id="162" w:name="_Toc168331492"/>
      <w:bookmarkStart w:id="163" w:name="_Toc168331631"/>
      <w:bookmarkStart w:id="164" w:name="_Toc168322083"/>
      <w:bookmarkStart w:id="165" w:name="_Toc168322222"/>
      <w:bookmarkStart w:id="166" w:name="_Toc168322361"/>
      <w:bookmarkStart w:id="167" w:name="_Toc168330690"/>
      <w:bookmarkStart w:id="168" w:name="_Toc168331493"/>
      <w:bookmarkStart w:id="169" w:name="_Toc168331632"/>
      <w:bookmarkStart w:id="170" w:name="_Toc168322084"/>
      <w:bookmarkStart w:id="171" w:name="_Toc168322223"/>
      <w:bookmarkStart w:id="172" w:name="_Toc168322362"/>
      <w:bookmarkStart w:id="173" w:name="_Toc168330691"/>
      <w:bookmarkStart w:id="174" w:name="_Toc168331494"/>
      <w:bookmarkStart w:id="175" w:name="_Toc168331633"/>
      <w:bookmarkStart w:id="176" w:name="_Toc168322085"/>
      <w:bookmarkStart w:id="177" w:name="_Toc168322224"/>
      <w:bookmarkStart w:id="178" w:name="_Toc168322363"/>
      <w:bookmarkStart w:id="179" w:name="_Toc168330692"/>
      <w:bookmarkStart w:id="180" w:name="_Toc168331495"/>
      <w:bookmarkStart w:id="181" w:name="_Toc168331634"/>
      <w:bookmarkStart w:id="182" w:name="_Toc168322086"/>
      <w:bookmarkStart w:id="183" w:name="_Toc168322225"/>
      <w:bookmarkStart w:id="184" w:name="_Toc168322364"/>
      <w:bookmarkStart w:id="185" w:name="_Toc168330693"/>
      <w:bookmarkStart w:id="186" w:name="_Toc168331496"/>
      <w:bookmarkStart w:id="187" w:name="_Toc168331635"/>
      <w:bookmarkStart w:id="188" w:name="_Toc168322087"/>
      <w:bookmarkStart w:id="189" w:name="_Toc168322226"/>
      <w:bookmarkStart w:id="190" w:name="_Toc168322365"/>
      <w:bookmarkStart w:id="191" w:name="_Toc168330694"/>
      <w:bookmarkStart w:id="192" w:name="_Toc168331497"/>
      <w:bookmarkStart w:id="193" w:name="_Toc168331636"/>
      <w:bookmarkStart w:id="194" w:name="_Toc168322088"/>
      <w:bookmarkStart w:id="195" w:name="_Toc168322227"/>
      <w:bookmarkStart w:id="196" w:name="_Toc168322366"/>
      <w:bookmarkStart w:id="197" w:name="_Toc168330695"/>
      <w:bookmarkStart w:id="198" w:name="_Toc168331498"/>
      <w:bookmarkStart w:id="199" w:name="_Toc168331637"/>
      <w:bookmarkStart w:id="200" w:name="_Toc20157541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C62D72">
        <w:rPr>
          <w:lang w:val="en-GB"/>
        </w:rPr>
        <w:t>Risk Appetite</w:t>
      </w:r>
      <w:bookmarkEnd w:id="135"/>
      <w:bookmarkEnd w:id="138"/>
      <w:bookmarkEnd w:id="139"/>
      <w:bookmarkEnd w:id="200"/>
    </w:p>
    <w:p w14:paraId="5F2CB049" w14:textId="36A2E561" w:rsidR="00F00350" w:rsidRPr="00CD11DE" w:rsidRDefault="00F00350" w:rsidP="00F00350">
      <w:pPr>
        <w:spacing w:after="240" w:line="259" w:lineRule="auto"/>
        <w:rPr>
          <w:sz w:val="20"/>
          <w:szCs w:val="20"/>
        </w:rPr>
      </w:pPr>
      <w:r w:rsidRPr="00CD11DE">
        <w:rPr>
          <w:sz w:val="20"/>
          <w:szCs w:val="20"/>
        </w:rPr>
        <w:t xml:space="preserve">A key pillar of the Bank’s risk strategy is its Risk Appetite Statement (RAS), and its application to strategic and day-to-day decision-making processes. The RAS articulates the nature and level of risk that the Bank is prepared to accept in order to meet its strategic objectives, the business plan and regulatory obligations, before action is deemed necessary to reduce the risk. </w:t>
      </w:r>
    </w:p>
    <w:p w14:paraId="5073DBB3" w14:textId="77777777" w:rsidR="00F00350" w:rsidRPr="00CD11DE" w:rsidRDefault="00F00350" w:rsidP="00F00350">
      <w:pPr>
        <w:spacing w:after="240" w:line="259" w:lineRule="auto"/>
        <w:rPr>
          <w:sz w:val="20"/>
          <w:szCs w:val="20"/>
        </w:rPr>
      </w:pPr>
      <w:r w:rsidRPr="00CD11DE">
        <w:rPr>
          <w:sz w:val="20"/>
          <w:szCs w:val="20"/>
        </w:rPr>
        <w:t>The Bank’s Board of Directors (Board) considers and approves the types and levels of risk it is willing to accept, or seeks to avoid or limit, in pursuit of the Bank’s business strategy and objectives. This is articulated to the business through a series of risk appetite statements and limits. Management then seek to embed these into all business activities through effective process design and appropriate risk governance.</w:t>
      </w:r>
    </w:p>
    <w:p w14:paraId="07C0538C" w14:textId="7D55B46C" w:rsidR="00F00350" w:rsidRPr="00CD11DE" w:rsidRDefault="00F00350" w:rsidP="00F00350">
      <w:pPr>
        <w:spacing w:after="240" w:line="259" w:lineRule="auto"/>
        <w:rPr>
          <w:sz w:val="20"/>
          <w:szCs w:val="20"/>
        </w:rPr>
      </w:pPr>
      <w:r w:rsidRPr="00CD11DE">
        <w:rPr>
          <w:sz w:val="20"/>
          <w:szCs w:val="20"/>
        </w:rPr>
        <w:lastRenderedPageBreak/>
        <w:t xml:space="preserve">The Bank takes a proactive approach to risk management and </w:t>
      </w:r>
      <w:r w:rsidR="000730E9" w:rsidRPr="00CD11DE">
        <w:rPr>
          <w:sz w:val="20"/>
          <w:szCs w:val="20"/>
        </w:rPr>
        <w:t>endeavours</w:t>
      </w:r>
      <w:r w:rsidRPr="00CD11DE">
        <w:rPr>
          <w:sz w:val="20"/>
          <w:szCs w:val="20"/>
        </w:rPr>
        <w:t xml:space="preserve"> to develop and maintain a healthy business within its defined risk appetite. Articulating the amount of risk taking that is acceptable to the Bank and helping colleagues to understand the relative significance of the risks faced allows for more efficient and effective risk management. </w:t>
      </w:r>
    </w:p>
    <w:p w14:paraId="7851DC73" w14:textId="77777777" w:rsidR="00F00350" w:rsidRPr="00CD11DE" w:rsidRDefault="00F00350" w:rsidP="00F00350">
      <w:pPr>
        <w:spacing w:after="240" w:line="259" w:lineRule="auto"/>
        <w:rPr>
          <w:sz w:val="20"/>
          <w:szCs w:val="20"/>
        </w:rPr>
      </w:pPr>
      <w:r w:rsidRPr="00CD11DE">
        <w:rPr>
          <w:sz w:val="20"/>
          <w:szCs w:val="20"/>
        </w:rPr>
        <w:t>The Bank’s RAS drives business and risk-based decision-making across the Bank, which is achieved by cascading it down on day-to-day risk-taking activities and decision-making. In the process, an integrated and coordinated approach is followed to embed a risk culture throughout the Bank with the active involvement of the risk owners and other stakeholders, including the Board.</w:t>
      </w:r>
    </w:p>
    <w:p w14:paraId="778329A0" w14:textId="77777777" w:rsidR="00F00350" w:rsidRPr="00CD11DE" w:rsidRDefault="00F00350" w:rsidP="00F00350">
      <w:pPr>
        <w:spacing w:after="240" w:line="259" w:lineRule="auto"/>
        <w:rPr>
          <w:sz w:val="20"/>
          <w:szCs w:val="20"/>
        </w:rPr>
      </w:pPr>
      <w:r w:rsidRPr="00CD11DE">
        <w:rPr>
          <w:sz w:val="20"/>
          <w:szCs w:val="20"/>
        </w:rPr>
        <w:t>The RAS is integral to the Bank’s overall risk management approach as outlined in its RMF. The RAS has been set by the Board and is used throughout the Bank in the implementation and execution of the agreed strategy on a day-to-day basis. The RAS is reviewed on an annual basis or more frequently in the event of material changes within the Bank or in the external environment.</w:t>
      </w:r>
    </w:p>
    <w:p w14:paraId="5DB20C58" w14:textId="539CA783" w:rsidR="00F00350" w:rsidRPr="00CD11DE" w:rsidRDefault="00F00350" w:rsidP="00F00350">
      <w:pPr>
        <w:spacing w:after="240" w:line="259" w:lineRule="auto"/>
        <w:rPr>
          <w:sz w:val="20"/>
          <w:szCs w:val="20"/>
        </w:rPr>
      </w:pPr>
      <w:r w:rsidRPr="00CD11DE">
        <w:rPr>
          <w:sz w:val="20"/>
          <w:szCs w:val="20"/>
        </w:rPr>
        <w:t xml:space="preserve">The risk appetite framework is organised by risk type and cascaded using a top-down approach as illustrated in Figure 6 below. Board level Risk Appetite Metrics (‘RAMs’) and Additional Monitoring Metrics (‘AMMs’), are used to ensure that supporting risk appetite statements are embedded throughout the business. The continual monitoring, reporting and escalation of these metrics and AMMs supports the Bank in identifying drivers behind the higher-level Board risk appetite statements. </w:t>
      </w:r>
    </w:p>
    <w:p w14:paraId="6244A26B" w14:textId="6692608D" w:rsidR="00F00350" w:rsidRPr="00CD11DE" w:rsidRDefault="00461979" w:rsidP="00F260C3">
      <w:pPr>
        <w:pStyle w:val="Caption"/>
      </w:pPr>
      <w:r w:rsidRPr="00461979">
        <w:rPr>
          <w:noProof/>
        </w:rPr>
        <w:drawing>
          <wp:anchor distT="0" distB="0" distL="114300" distR="114300" simplePos="0" relativeHeight="251660292" behindDoc="0" locked="0" layoutInCell="1" allowOverlap="1" wp14:anchorId="6E2D9EEE" wp14:editId="5A2C961B">
            <wp:simplePos x="0" y="0"/>
            <wp:positionH relativeFrom="margin">
              <wp:align>right</wp:align>
            </wp:positionH>
            <wp:positionV relativeFrom="paragraph">
              <wp:posOffset>219075</wp:posOffset>
            </wp:positionV>
            <wp:extent cx="5738495" cy="3695700"/>
            <wp:effectExtent l="0" t="0" r="0" b="0"/>
            <wp:wrapSquare wrapText="bothSides"/>
            <wp:docPr id="199184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8495" cy="3695700"/>
                    </a:xfrm>
                    <a:prstGeom prst="rect">
                      <a:avLst/>
                    </a:prstGeom>
                    <a:noFill/>
                    <a:ln>
                      <a:noFill/>
                    </a:ln>
                  </pic:spPr>
                </pic:pic>
              </a:graphicData>
            </a:graphic>
          </wp:anchor>
        </w:drawing>
      </w:r>
      <w:r w:rsidR="00A62169" w:rsidRPr="00CD11DE">
        <w:t xml:space="preserve">Figure </w:t>
      </w:r>
      <w:r w:rsidR="00A62169" w:rsidRPr="00CD11DE">
        <w:fldChar w:fldCharType="begin"/>
      </w:r>
      <w:r w:rsidR="00A62169" w:rsidRPr="00CD11DE">
        <w:instrText xml:space="preserve"> SEQ Figure \* ARABIC </w:instrText>
      </w:r>
      <w:r w:rsidR="00A62169" w:rsidRPr="00CD11DE">
        <w:fldChar w:fldCharType="separate"/>
      </w:r>
      <w:r w:rsidR="002878FB" w:rsidRPr="00CD11DE">
        <w:rPr>
          <w:noProof/>
        </w:rPr>
        <w:t>6</w:t>
      </w:r>
      <w:r w:rsidR="00A62169" w:rsidRPr="00CD11DE">
        <w:fldChar w:fldCharType="end"/>
      </w:r>
      <w:r w:rsidR="00A62169" w:rsidRPr="00CD11DE">
        <w:t>: Risk Appetite Framework</w:t>
      </w:r>
    </w:p>
    <w:p w14:paraId="2480107F" w14:textId="75A6E388" w:rsidR="00A62169" w:rsidRPr="00CD11DE" w:rsidRDefault="00A62169" w:rsidP="00A62169">
      <w:pPr>
        <w:rPr>
          <w:sz w:val="20"/>
          <w:szCs w:val="20"/>
        </w:rPr>
      </w:pPr>
      <w:r w:rsidRPr="00CD11DE">
        <w:rPr>
          <w:sz w:val="20"/>
          <w:szCs w:val="20"/>
        </w:rPr>
        <w:t>Risk Appetite Statements are approved by the Board and aligned to the Bank’s strategic plans. These are defined as the maximum level of risk tolerance the Board considers appropriate in meeting its strategic business objectives. The Risk Appetite statements are shown in Figure 7 below:</w:t>
      </w:r>
    </w:p>
    <w:p w14:paraId="0926DEF5" w14:textId="747B122F" w:rsidR="00A62169" w:rsidRPr="00CD11DE" w:rsidRDefault="002878FB" w:rsidP="00B35480">
      <w:pPr>
        <w:pStyle w:val="Caption"/>
      </w:pPr>
      <w:r w:rsidRPr="00CD11DE">
        <w:lastRenderedPageBreak/>
        <w:t xml:space="preserve">Figure </w:t>
      </w:r>
      <w:r w:rsidRPr="00CD11DE">
        <w:fldChar w:fldCharType="begin"/>
      </w:r>
      <w:r w:rsidRPr="00CD11DE">
        <w:instrText xml:space="preserve"> SEQ Figure \* ARABIC </w:instrText>
      </w:r>
      <w:r w:rsidRPr="00CD11DE">
        <w:fldChar w:fldCharType="separate"/>
      </w:r>
      <w:r w:rsidRPr="00CD11DE">
        <w:rPr>
          <w:noProof/>
        </w:rPr>
        <w:t>7</w:t>
      </w:r>
      <w:r w:rsidRPr="00CD11DE">
        <w:fldChar w:fldCharType="end"/>
      </w:r>
      <w:r w:rsidRPr="00CD11DE">
        <w:t>: Risk Appetite Statements</w:t>
      </w:r>
    </w:p>
    <w:tbl>
      <w:tblPr>
        <w:tblStyle w:val="TableGrid11"/>
        <w:tblW w:w="9067" w:type="dxa"/>
        <w:tblLook w:val="0600" w:firstRow="0" w:lastRow="0" w:firstColumn="0" w:lastColumn="0" w:noHBand="1" w:noVBand="1"/>
      </w:tblPr>
      <w:tblGrid>
        <w:gridCol w:w="494"/>
        <w:gridCol w:w="1701"/>
        <w:gridCol w:w="6872"/>
      </w:tblGrid>
      <w:tr w:rsidR="002878FB" w:rsidRPr="00CD11DE" w14:paraId="6B38DDFE" w14:textId="77777777" w:rsidTr="006F3279">
        <w:trPr>
          <w:trHeight w:val="487"/>
          <w:tblHeader/>
        </w:trPr>
        <w:tc>
          <w:tcPr>
            <w:tcW w:w="2195" w:type="dxa"/>
            <w:gridSpan w:val="2"/>
            <w:shd w:val="clear" w:color="auto" w:fill="06B1D6" w:themeFill="accent1"/>
            <w:vAlign w:val="center"/>
            <w:hideMark/>
          </w:tcPr>
          <w:p w14:paraId="232EA313"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Primary Risk Type</w:t>
            </w:r>
          </w:p>
        </w:tc>
        <w:tc>
          <w:tcPr>
            <w:tcW w:w="6872" w:type="dxa"/>
            <w:shd w:val="clear" w:color="auto" w:fill="06B1D6" w:themeFill="accent1"/>
            <w:vAlign w:val="center"/>
            <w:hideMark/>
          </w:tcPr>
          <w:p w14:paraId="4F32CEEB"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Risk Appetite Statements</w:t>
            </w:r>
          </w:p>
        </w:tc>
      </w:tr>
      <w:tr w:rsidR="002878FB" w:rsidRPr="00CD11DE" w14:paraId="5F919B28" w14:textId="77777777" w:rsidTr="00C1159A">
        <w:trPr>
          <w:trHeight w:val="864"/>
        </w:trPr>
        <w:tc>
          <w:tcPr>
            <w:tcW w:w="494" w:type="dxa"/>
            <w:vAlign w:val="center"/>
            <w:hideMark/>
          </w:tcPr>
          <w:p w14:paraId="7FA94431"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1</w:t>
            </w:r>
          </w:p>
        </w:tc>
        <w:tc>
          <w:tcPr>
            <w:tcW w:w="1701" w:type="dxa"/>
            <w:vAlign w:val="center"/>
            <w:hideMark/>
          </w:tcPr>
          <w:p w14:paraId="1BAA13CC"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Strategic &amp; Business Model Risk</w:t>
            </w:r>
          </w:p>
        </w:tc>
        <w:tc>
          <w:tcPr>
            <w:tcW w:w="6872" w:type="dxa"/>
            <w:vAlign w:val="center"/>
            <w:hideMark/>
          </w:tcPr>
          <w:p w14:paraId="66C646A8"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Bank’s strategic and business model risk appetite is to ensure an effective operating model is in place at all times, that will maintain a sustainable business over the long term and provide appropriate returns to customers and shareholders.</w:t>
            </w:r>
          </w:p>
        </w:tc>
      </w:tr>
      <w:tr w:rsidR="002878FB" w:rsidRPr="00CD11DE" w14:paraId="5A885763" w14:textId="77777777" w:rsidTr="00C1159A">
        <w:trPr>
          <w:trHeight w:val="635"/>
        </w:trPr>
        <w:tc>
          <w:tcPr>
            <w:tcW w:w="494" w:type="dxa"/>
            <w:vAlign w:val="center"/>
          </w:tcPr>
          <w:p w14:paraId="6FFA3E98"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2</w:t>
            </w:r>
          </w:p>
        </w:tc>
        <w:tc>
          <w:tcPr>
            <w:tcW w:w="1701" w:type="dxa"/>
            <w:vAlign w:val="center"/>
            <w:hideMark/>
          </w:tcPr>
          <w:p w14:paraId="6E405117"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Capital Risk</w:t>
            </w:r>
          </w:p>
        </w:tc>
        <w:tc>
          <w:tcPr>
            <w:tcW w:w="6872" w:type="dxa"/>
            <w:vAlign w:val="center"/>
            <w:hideMark/>
          </w:tcPr>
          <w:p w14:paraId="3473D392"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Bank’s capital risk appetite is to maintain a prudent level of capital resources that is sufficient to cover the requirements of the business plan and has the ability to absorb capital movements under severe but plausible stress scenarios without breaching regulatory requirements. </w:t>
            </w:r>
          </w:p>
        </w:tc>
      </w:tr>
      <w:tr w:rsidR="002878FB" w:rsidRPr="00CD11DE" w14:paraId="0DB7F6BC" w14:textId="77777777" w:rsidTr="00C1159A">
        <w:trPr>
          <w:trHeight w:val="864"/>
        </w:trPr>
        <w:tc>
          <w:tcPr>
            <w:tcW w:w="494" w:type="dxa"/>
            <w:vAlign w:val="center"/>
          </w:tcPr>
          <w:p w14:paraId="3B8D5884"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3</w:t>
            </w:r>
          </w:p>
        </w:tc>
        <w:tc>
          <w:tcPr>
            <w:tcW w:w="1701" w:type="dxa"/>
            <w:vAlign w:val="center"/>
            <w:hideMark/>
          </w:tcPr>
          <w:p w14:paraId="38899AD8"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Liquidity &amp; Funding Risk</w:t>
            </w:r>
          </w:p>
        </w:tc>
        <w:tc>
          <w:tcPr>
            <w:tcW w:w="6872" w:type="dxa"/>
            <w:vAlign w:val="center"/>
            <w:hideMark/>
          </w:tcPr>
          <w:p w14:paraId="1206109C"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Bank’s liquidity and funding risk appetite is to maintain sufficient levels of liquidity and funding, through High Quality Liquid Assets, and diversified sources and tenors of funding. This enables the Bank to meet current and forecasted obligations as they fall due, under business as usual and severe but plausible stress scenarios and operate in line with regulatory requirements.</w:t>
            </w:r>
          </w:p>
        </w:tc>
      </w:tr>
      <w:tr w:rsidR="002878FB" w:rsidRPr="00CD11DE" w14:paraId="63D17F3B" w14:textId="77777777" w:rsidTr="00C1159A">
        <w:trPr>
          <w:trHeight w:val="864"/>
        </w:trPr>
        <w:tc>
          <w:tcPr>
            <w:tcW w:w="494" w:type="dxa"/>
            <w:vAlign w:val="center"/>
          </w:tcPr>
          <w:p w14:paraId="65813767"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4</w:t>
            </w:r>
          </w:p>
        </w:tc>
        <w:tc>
          <w:tcPr>
            <w:tcW w:w="1701" w:type="dxa"/>
            <w:vAlign w:val="center"/>
            <w:hideMark/>
          </w:tcPr>
          <w:p w14:paraId="29375199"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Market Risk</w:t>
            </w:r>
          </w:p>
        </w:tc>
        <w:tc>
          <w:tcPr>
            <w:tcW w:w="6872" w:type="dxa"/>
            <w:vAlign w:val="center"/>
            <w:hideMark/>
          </w:tcPr>
          <w:p w14:paraId="4A4212A1" w14:textId="662621EF"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 xml:space="preserve">The Bank’s market risk appetite is to ensure risks relating to the effect of changes in market rates are minimised where it is economically viable, such that it avoids incurring any losses beyond approved limits, or excess volatility in either </w:t>
            </w:r>
            <w:r w:rsidR="00410BA8">
              <w:rPr>
                <w:rFonts w:eastAsia="Calibri"/>
                <w:color w:val="auto"/>
                <w:sz w:val="20"/>
                <w:szCs w:val="20"/>
              </w:rPr>
              <w:t xml:space="preserve"> the economic value of equity (</w:t>
            </w:r>
            <w:r w:rsidRPr="00CD11DE">
              <w:rPr>
                <w:rFonts w:eastAsia="Calibri"/>
                <w:color w:val="auto"/>
                <w:sz w:val="20"/>
                <w:szCs w:val="20"/>
              </w:rPr>
              <w:t>EVE</w:t>
            </w:r>
            <w:r w:rsidR="00410BA8">
              <w:rPr>
                <w:rFonts w:eastAsia="Calibri"/>
                <w:color w:val="auto"/>
                <w:sz w:val="20"/>
                <w:szCs w:val="20"/>
              </w:rPr>
              <w:t>)</w:t>
            </w:r>
            <w:r w:rsidRPr="00CD11DE">
              <w:rPr>
                <w:rFonts w:eastAsia="Calibri"/>
                <w:color w:val="auto"/>
                <w:sz w:val="20"/>
                <w:szCs w:val="20"/>
              </w:rPr>
              <w:t xml:space="preserve"> or the consolidated statement of profit and loss. The Bank accepts a low level of volatility in the assets in which it invests and avoids holding proprietary positions.</w:t>
            </w:r>
          </w:p>
        </w:tc>
      </w:tr>
      <w:tr w:rsidR="002878FB" w:rsidRPr="00CD11DE" w14:paraId="3C68CE21" w14:textId="77777777" w:rsidTr="00C1159A">
        <w:trPr>
          <w:trHeight w:val="864"/>
        </w:trPr>
        <w:tc>
          <w:tcPr>
            <w:tcW w:w="494" w:type="dxa"/>
            <w:vAlign w:val="center"/>
          </w:tcPr>
          <w:p w14:paraId="770AE4FB"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5</w:t>
            </w:r>
          </w:p>
        </w:tc>
        <w:tc>
          <w:tcPr>
            <w:tcW w:w="1701" w:type="dxa"/>
            <w:vAlign w:val="center"/>
            <w:hideMark/>
          </w:tcPr>
          <w:p w14:paraId="77FF5642"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Credit Risk</w:t>
            </w:r>
          </w:p>
        </w:tc>
        <w:tc>
          <w:tcPr>
            <w:tcW w:w="6872" w:type="dxa"/>
            <w:vAlign w:val="center"/>
          </w:tcPr>
          <w:p w14:paraId="199D2388" w14:textId="06E3820B" w:rsidR="002878FB" w:rsidRPr="00CD11DE" w:rsidRDefault="007D7D55" w:rsidP="00C1159A">
            <w:pPr>
              <w:keepLines w:val="0"/>
              <w:spacing w:after="0" w:line="240" w:lineRule="auto"/>
              <w:jc w:val="left"/>
              <w:rPr>
                <w:rFonts w:eastAsia="Calibri"/>
                <w:color w:val="auto"/>
                <w:sz w:val="20"/>
                <w:szCs w:val="20"/>
              </w:rPr>
            </w:pPr>
            <w:r w:rsidRPr="007D7D55">
              <w:rPr>
                <w:rFonts w:eastAsia="Calibri"/>
                <w:color w:val="auto"/>
                <w:sz w:val="20"/>
                <w:szCs w:val="20"/>
              </w:rPr>
              <w:t>The Bank’s credit risk appetite is to maintain a well-diversified property finance portfolio by location and type of property, secured with conservative Finance-To-Value’s (FTV) relative to the security type. For Treasury exposures, the Bank has appetite primarily for investment grade instruments and counterparties to achieve its strategic objectives, while maintaining financial stability and regulatory compliance. Both must be supported by an assessment of the customers and/or counterparties creditworthiness and be conducted in line with the Bank’s policies.</w:t>
            </w:r>
          </w:p>
        </w:tc>
      </w:tr>
      <w:tr w:rsidR="002878FB" w:rsidRPr="00CD11DE" w14:paraId="0003ED48" w14:textId="77777777" w:rsidTr="00C1159A">
        <w:trPr>
          <w:trHeight w:val="864"/>
        </w:trPr>
        <w:tc>
          <w:tcPr>
            <w:tcW w:w="494" w:type="dxa"/>
            <w:vAlign w:val="center"/>
          </w:tcPr>
          <w:p w14:paraId="1BB8AAE5"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6</w:t>
            </w:r>
          </w:p>
        </w:tc>
        <w:tc>
          <w:tcPr>
            <w:tcW w:w="1701" w:type="dxa"/>
            <w:vAlign w:val="center"/>
          </w:tcPr>
          <w:p w14:paraId="1680E40B"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Conduct Risk</w:t>
            </w:r>
          </w:p>
        </w:tc>
        <w:tc>
          <w:tcPr>
            <w:tcW w:w="6872" w:type="dxa"/>
            <w:vAlign w:val="center"/>
          </w:tcPr>
          <w:p w14:paraId="69B92D18"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 conducts business ethically, with honesty and integrity. The Bank seeks to ensure customers are provided with good outcomes from the business they undertake with ARB, as well as being supported in achieving their financial objectives. </w:t>
            </w:r>
          </w:p>
        </w:tc>
      </w:tr>
      <w:tr w:rsidR="002878FB" w:rsidRPr="00CD11DE" w14:paraId="7480F3A1" w14:textId="77777777" w:rsidTr="00C1159A">
        <w:trPr>
          <w:trHeight w:val="613"/>
        </w:trPr>
        <w:tc>
          <w:tcPr>
            <w:tcW w:w="494" w:type="dxa"/>
            <w:vAlign w:val="center"/>
          </w:tcPr>
          <w:p w14:paraId="31B2846D"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7</w:t>
            </w:r>
          </w:p>
        </w:tc>
        <w:tc>
          <w:tcPr>
            <w:tcW w:w="1701" w:type="dxa"/>
            <w:vAlign w:val="center"/>
          </w:tcPr>
          <w:p w14:paraId="288F15F4"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Compliance and Legal Risk</w:t>
            </w:r>
          </w:p>
        </w:tc>
        <w:tc>
          <w:tcPr>
            <w:tcW w:w="6872" w:type="dxa"/>
            <w:vAlign w:val="center"/>
          </w:tcPr>
          <w:p w14:paraId="1449F677"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 will comply with all laws, rules and regulations, including those related to information and data, in a manner proportionate to its nature, scale and complexity and engages with its regulators in an open and transparent manner. When faced with litigation from customers or third parties, the Bank will take a balanced view and defend its position where there is the chance of material financial, reputational or commercial consequences.</w:t>
            </w:r>
          </w:p>
        </w:tc>
      </w:tr>
      <w:tr w:rsidR="002878FB" w:rsidRPr="00CD11DE" w14:paraId="604E399A" w14:textId="77777777" w:rsidTr="00C1159A">
        <w:trPr>
          <w:trHeight w:val="864"/>
        </w:trPr>
        <w:tc>
          <w:tcPr>
            <w:tcW w:w="494" w:type="dxa"/>
            <w:vAlign w:val="center"/>
          </w:tcPr>
          <w:p w14:paraId="120F591F"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8</w:t>
            </w:r>
          </w:p>
        </w:tc>
        <w:tc>
          <w:tcPr>
            <w:tcW w:w="1701" w:type="dxa"/>
            <w:vAlign w:val="center"/>
          </w:tcPr>
          <w:p w14:paraId="71DAAC3C"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Environmental, Social and Governance (ESG) Risk</w:t>
            </w:r>
          </w:p>
        </w:tc>
        <w:tc>
          <w:tcPr>
            <w:tcW w:w="6872" w:type="dxa"/>
            <w:vAlign w:val="center"/>
          </w:tcPr>
          <w:p w14:paraId="6D0E7FEB"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 maintains a strong commitment to environmental, social, and governance (ESG) principles and will priorities sustainable practices, social responsibility, and ethical governance throughout its operations. The Bank’s ESG Risk Appetite aligns with these commitments, ensuring that it assesses and manages ESG risks effectively and responsibly.</w:t>
            </w:r>
          </w:p>
        </w:tc>
      </w:tr>
      <w:tr w:rsidR="002878FB" w:rsidRPr="00CD11DE" w14:paraId="49778B8E" w14:textId="77777777" w:rsidTr="00C1159A">
        <w:trPr>
          <w:trHeight w:val="864"/>
        </w:trPr>
        <w:tc>
          <w:tcPr>
            <w:tcW w:w="494" w:type="dxa"/>
            <w:vAlign w:val="center"/>
          </w:tcPr>
          <w:p w14:paraId="3404C40E"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9</w:t>
            </w:r>
          </w:p>
        </w:tc>
        <w:tc>
          <w:tcPr>
            <w:tcW w:w="1701" w:type="dxa"/>
            <w:vAlign w:val="center"/>
          </w:tcPr>
          <w:p w14:paraId="35E21146"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People Risk</w:t>
            </w:r>
          </w:p>
        </w:tc>
        <w:tc>
          <w:tcPr>
            <w:tcW w:w="6872" w:type="dxa"/>
            <w:vAlign w:val="center"/>
          </w:tcPr>
          <w:p w14:paraId="3CBD6925"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 recruits, develops, supports and retains a committed, capable, diverse employee base, which displays the organisational culture, values and behaviours expected of all.</w:t>
            </w:r>
          </w:p>
        </w:tc>
      </w:tr>
      <w:tr w:rsidR="002878FB" w:rsidRPr="00CD11DE" w14:paraId="513D78C0" w14:textId="77777777" w:rsidTr="00C1159A">
        <w:trPr>
          <w:trHeight w:val="864"/>
        </w:trPr>
        <w:tc>
          <w:tcPr>
            <w:tcW w:w="494" w:type="dxa"/>
            <w:vAlign w:val="center"/>
          </w:tcPr>
          <w:p w14:paraId="0A319BA2"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lastRenderedPageBreak/>
              <w:t>10</w:t>
            </w:r>
          </w:p>
        </w:tc>
        <w:tc>
          <w:tcPr>
            <w:tcW w:w="1701" w:type="dxa"/>
            <w:vAlign w:val="center"/>
          </w:tcPr>
          <w:p w14:paraId="2C2C4F8C"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Operational Risk and Resilience</w:t>
            </w:r>
          </w:p>
        </w:tc>
        <w:tc>
          <w:tcPr>
            <w:tcW w:w="6872" w:type="dxa"/>
            <w:vAlign w:val="center"/>
          </w:tcPr>
          <w:p w14:paraId="3AF48274" w14:textId="61008635" w:rsidR="002878FB" w:rsidRPr="00CD11DE" w:rsidRDefault="007D7D55" w:rsidP="00C1159A">
            <w:pPr>
              <w:keepLines w:val="0"/>
              <w:spacing w:after="0" w:line="276" w:lineRule="auto"/>
              <w:jc w:val="left"/>
              <w:rPr>
                <w:rFonts w:eastAsia="Calibri"/>
                <w:color w:val="auto"/>
                <w:sz w:val="20"/>
                <w:szCs w:val="20"/>
              </w:rPr>
            </w:pPr>
            <w:bookmarkStart w:id="201" w:name="_Hlk150440343"/>
            <w:r w:rsidRPr="007D7D55">
              <w:rPr>
                <w:rFonts w:eastAsia="Calibri"/>
                <w:color w:val="auto"/>
                <w:sz w:val="20"/>
                <w:szCs w:val="20"/>
              </w:rPr>
              <w:t>The Bank maintains robust and resilient business-as-usual and change management processes and systems directly or via third parties. These are regularly reviewed to support the services that are provided to customers and employees and regularly assessed to ensure they remain within approved impact tolerances and recovery and resolution timescales.</w:t>
            </w:r>
            <w:bookmarkEnd w:id="201"/>
          </w:p>
        </w:tc>
      </w:tr>
      <w:tr w:rsidR="002878FB" w:rsidRPr="00CD11DE" w14:paraId="6818BE44" w14:textId="77777777" w:rsidTr="00C1159A">
        <w:trPr>
          <w:trHeight w:val="864"/>
        </w:trPr>
        <w:tc>
          <w:tcPr>
            <w:tcW w:w="494" w:type="dxa"/>
            <w:vAlign w:val="center"/>
          </w:tcPr>
          <w:p w14:paraId="3E4E4B12"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11</w:t>
            </w:r>
          </w:p>
        </w:tc>
        <w:tc>
          <w:tcPr>
            <w:tcW w:w="1701" w:type="dxa"/>
            <w:vAlign w:val="center"/>
          </w:tcPr>
          <w:p w14:paraId="5CA2CBE7"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Financial Crime Risk</w:t>
            </w:r>
          </w:p>
        </w:tc>
        <w:tc>
          <w:tcPr>
            <w:tcW w:w="6872" w:type="dxa"/>
            <w:vAlign w:val="center"/>
          </w:tcPr>
          <w:p w14:paraId="6C753901"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 has no appetite for systematic weaknesses in its financial crime systems and controls or any breach of the financial crime laws and regulations applying to its business and activities. The Bank does not undertake business with individuals or entities that it suspects are subject to sanctions or are engaged in and/or exposed to activities relating to financial crime. </w:t>
            </w:r>
          </w:p>
        </w:tc>
      </w:tr>
      <w:tr w:rsidR="002878FB" w:rsidRPr="00CD11DE" w14:paraId="4FEDF5CC" w14:textId="77777777" w:rsidTr="00C1159A">
        <w:trPr>
          <w:trHeight w:val="613"/>
        </w:trPr>
        <w:tc>
          <w:tcPr>
            <w:tcW w:w="494" w:type="dxa"/>
            <w:vAlign w:val="center"/>
          </w:tcPr>
          <w:p w14:paraId="18482DEB"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12</w:t>
            </w:r>
          </w:p>
        </w:tc>
        <w:tc>
          <w:tcPr>
            <w:tcW w:w="1701" w:type="dxa"/>
            <w:vAlign w:val="center"/>
          </w:tcPr>
          <w:p w14:paraId="24164379"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Information &amp; Cyber Risk</w:t>
            </w:r>
          </w:p>
        </w:tc>
        <w:tc>
          <w:tcPr>
            <w:tcW w:w="6872" w:type="dxa"/>
            <w:vAlign w:val="center"/>
          </w:tcPr>
          <w:p w14:paraId="05274E28" w14:textId="6C299184"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 xml:space="preserve">The Bank adopts strong, risk-based cyber security practices and technological solutions that will aim to prevent the risk of a material cyber security event occurring. </w:t>
            </w:r>
          </w:p>
        </w:tc>
      </w:tr>
      <w:tr w:rsidR="007D7D55" w:rsidRPr="00CD11DE" w14:paraId="1E05D5A9" w14:textId="77777777" w:rsidTr="00C1159A">
        <w:trPr>
          <w:trHeight w:val="864"/>
        </w:trPr>
        <w:tc>
          <w:tcPr>
            <w:tcW w:w="494" w:type="dxa"/>
            <w:vAlign w:val="center"/>
          </w:tcPr>
          <w:p w14:paraId="0C92F74B" w14:textId="51DEA9FA" w:rsidR="007D7D55" w:rsidRPr="00CD11DE" w:rsidRDefault="007D7D55" w:rsidP="007D7D55">
            <w:pPr>
              <w:keepLines w:val="0"/>
              <w:spacing w:after="0" w:line="276" w:lineRule="auto"/>
              <w:jc w:val="left"/>
              <w:rPr>
                <w:rFonts w:eastAsia="Calibri"/>
                <w:b/>
                <w:color w:val="auto"/>
                <w:sz w:val="20"/>
                <w:szCs w:val="20"/>
              </w:rPr>
            </w:pPr>
            <w:r>
              <w:rPr>
                <w:rFonts w:eastAsia="Calibri"/>
                <w:b/>
                <w:color w:val="auto"/>
                <w:sz w:val="20"/>
                <w:szCs w:val="20"/>
              </w:rPr>
              <w:t>13</w:t>
            </w:r>
          </w:p>
        </w:tc>
        <w:tc>
          <w:tcPr>
            <w:tcW w:w="1701" w:type="dxa"/>
            <w:vAlign w:val="center"/>
          </w:tcPr>
          <w:p w14:paraId="7D25B71C" w14:textId="662BBE80" w:rsidR="007D7D55" w:rsidRPr="00CD11DE" w:rsidRDefault="007D7D55" w:rsidP="007D7D55">
            <w:pPr>
              <w:keepLines w:val="0"/>
              <w:spacing w:after="0" w:line="276" w:lineRule="auto"/>
              <w:jc w:val="left"/>
              <w:rPr>
                <w:rFonts w:eastAsia="Calibri"/>
                <w:b/>
                <w:color w:val="auto"/>
                <w:sz w:val="20"/>
                <w:szCs w:val="20"/>
              </w:rPr>
            </w:pPr>
            <w:r>
              <w:rPr>
                <w:rFonts w:eastAsia="Calibri"/>
                <w:b/>
                <w:color w:val="auto"/>
                <w:sz w:val="20"/>
                <w:szCs w:val="20"/>
              </w:rPr>
              <w:t>Financial Management</w:t>
            </w:r>
          </w:p>
        </w:tc>
        <w:tc>
          <w:tcPr>
            <w:tcW w:w="6872" w:type="dxa"/>
            <w:vAlign w:val="center"/>
          </w:tcPr>
          <w:p w14:paraId="2AEE9639" w14:textId="373816CF" w:rsidR="007D7D55" w:rsidRPr="00CD11DE" w:rsidRDefault="007D7D55" w:rsidP="007D7D55">
            <w:pPr>
              <w:keepLines w:val="0"/>
              <w:spacing w:after="0" w:line="276" w:lineRule="auto"/>
              <w:jc w:val="left"/>
              <w:rPr>
                <w:rFonts w:eastAsia="Calibri"/>
                <w:color w:val="auto"/>
                <w:sz w:val="20"/>
                <w:szCs w:val="20"/>
              </w:rPr>
            </w:pPr>
            <w:r w:rsidRPr="00B441DF">
              <w:rPr>
                <w:rFonts w:eastAsia="Calibri"/>
                <w:color w:val="auto"/>
                <w:sz w:val="20"/>
                <w:szCs w:val="20"/>
              </w:rPr>
              <w:t>The Bank maintains robust and resilient processes to support accurate and complete financial information, appropriate application of financial resources and compliance with relevant laws, regulations and accounting standards.</w:t>
            </w:r>
          </w:p>
        </w:tc>
      </w:tr>
      <w:tr w:rsidR="002878FB" w:rsidRPr="00CD11DE" w14:paraId="0D7AF769" w14:textId="77777777" w:rsidTr="00C1159A">
        <w:trPr>
          <w:trHeight w:val="864"/>
        </w:trPr>
        <w:tc>
          <w:tcPr>
            <w:tcW w:w="494" w:type="dxa"/>
            <w:vAlign w:val="center"/>
          </w:tcPr>
          <w:p w14:paraId="76FB85D2" w14:textId="11C0753C"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1</w:t>
            </w:r>
            <w:r w:rsidR="007D7D55">
              <w:rPr>
                <w:rFonts w:eastAsia="Calibri"/>
                <w:b/>
                <w:color w:val="auto"/>
                <w:sz w:val="20"/>
                <w:szCs w:val="20"/>
              </w:rPr>
              <w:t>4</w:t>
            </w:r>
          </w:p>
        </w:tc>
        <w:tc>
          <w:tcPr>
            <w:tcW w:w="1701" w:type="dxa"/>
            <w:vAlign w:val="center"/>
          </w:tcPr>
          <w:p w14:paraId="2A49CD04" w14:textId="77777777" w:rsidR="002878FB" w:rsidRPr="00CD11DE" w:rsidRDefault="002878FB" w:rsidP="00C1159A">
            <w:pPr>
              <w:keepLines w:val="0"/>
              <w:spacing w:after="0" w:line="276" w:lineRule="auto"/>
              <w:jc w:val="left"/>
              <w:rPr>
                <w:rFonts w:eastAsia="Calibri"/>
                <w:b/>
                <w:bCs/>
                <w:color w:val="auto"/>
                <w:sz w:val="20"/>
                <w:szCs w:val="20"/>
              </w:rPr>
            </w:pPr>
            <w:r w:rsidRPr="00CD11DE">
              <w:rPr>
                <w:rFonts w:eastAsia="Calibri"/>
                <w:b/>
                <w:color w:val="auto"/>
                <w:sz w:val="20"/>
                <w:szCs w:val="20"/>
              </w:rPr>
              <w:t>Sharia Non-Compliance Risk</w:t>
            </w:r>
          </w:p>
        </w:tc>
        <w:tc>
          <w:tcPr>
            <w:tcW w:w="6872" w:type="dxa"/>
            <w:vAlign w:val="center"/>
          </w:tcPr>
          <w:p w14:paraId="6C4AD284" w14:textId="77777777" w:rsidR="002878FB" w:rsidRPr="00CD11DE" w:rsidRDefault="002878FB" w:rsidP="00C1159A">
            <w:pPr>
              <w:keepLines w:val="0"/>
              <w:spacing w:after="0" w:line="276" w:lineRule="auto"/>
              <w:jc w:val="left"/>
              <w:rPr>
                <w:rFonts w:eastAsia="Calibri"/>
                <w:color w:val="auto"/>
                <w:sz w:val="20"/>
                <w:szCs w:val="20"/>
              </w:rPr>
            </w:pPr>
            <w:r w:rsidRPr="00CD11DE">
              <w:rPr>
                <w:rFonts w:eastAsia="Calibri"/>
                <w:color w:val="auto"/>
                <w:sz w:val="20"/>
                <w:szCs w:val="20"/>
              </w:rPr>
              <w:t>The Bank operates in a manner which is compliant with Sharia principles and rules.</w:t>
            </w:r>
          </w:p>
        </w:tc>
      </w:tr>
    </w:tbl>
    <w:p w14:paraId="2AD2E162" w14:textId="77777777" w:rsidR="00215FA3" w:rsidRPr="00CD11DE" w:rsidRDefault="00215FA3" w:rsidP="0000514A">
      <w:pPr>
        <w:jc w:val="left"/>
        <w:rPr>
          <w:b/>
          <w:bCs/>
        </w:rPr>
      </w:pPr>
      <w:bookmarkStart w:id="202" w:name="_Toc136964987"/>
      <w:bookmarkStart w:id="203" w:name="_Toc136964988"/>
      <w:bookmarkStart w:id="204" w:name="_Toc136964989"/>
      <w:bookmarkStart w:id="205" w:name="_Toc136964990"/>
      <w:bookmarkStart w:id="206" w:name="_Toc136964991"/>
      <w:bookmarkStart w:id="207" w:name="_Toc136964992"/>
      <w:bookmarkStart w:id="208" w:name="_Toc136964993"/>
      <w:bookmarkStart w:id="209" w:name="_Toc136964994"/>
      <w:bookmarkStart w:id="210" w:name="_Toc136964995"/>
      <w:bookmarkStart w:id="211" w:name="_Toc136964996"/>
      <w:bookmarkStart w:id="212" w:name="_Toc136964997"/>
      <w:bookmarkStart w:id="213" w:name="_Toc136964998"/>
      <w:bookmarkStart w:id="214" w:name="_Toc136964999"/>
      <w:bookmarkStart w:id="215" w:name="_Toc136965000"/>
      <w:bookmarkStart w:id="216" w:name="_Toc136965001"/>
      <w:bookmarkStart w:id="217" w:name="_Toc136965002"/>
      <w:bookmarkStart w:id="218" w:name="_Toc136965003"/>
      <w:bookmarkStart w:id="219" w:name="_Toc136965004"/>
      <w:bookmarkStart w:id="220" w:name="_Toc136965005"/>
      <w:bookmarkStart w:id="221" w:name="_Toc136965006"/>
      <w:bookmarkStart w:id="222" w:name="_Toc136965007"/>
      <w:bookmarkStart w:id="223" w:name="_Toc136965008"/>
      <w:bookmarkStart w:id="224" w:name="_Toc136965009"/>
      <w:bookmarkStart w:id="225" w:name="_Toc136965010"/>
      <w:bookmarkStart w:id="226" w:name="_Toc136965011"/>
      <w:bookmarkStart w:id="227" w:name="_Toc136965012"/>
      <w:bookmarkStart w:id="228" w:name="_Toc136965014"/>
      <w:bookmarkStart w:id="229" w:name="_Toc136965015"/>
      <w:bookmarkStart w:id="230" w:name="_Toc136965016"/>
      <w:bookmarkStart w:id="231" w:name="_Toc136965017"/>
      <w:bookmarkStart w:id="232" w:name="_Toc136965018"/>
      <w:bookmarkStart w:id="233" w:name="_Toc136965019"/>
      <w:bookmarkStart w:id="234" w:name="_Toc136965020"/>
      <w:bookmarkStart w:id="235" w:name="_Toc136965021"/>
      <w:bookmarkStart w:id="236" w:name="_Toc136965022"/>
      <w:bookmarkStart w:id="237" w:name="_Toc136965023"/>
      <w:bookmarkStart w:id="238" w:name="_Toc136965024"/>
      <w:bookmarkStart w:id="239" w:name="_Toc136965026"/>
      <w:bookmarkStart w:id="240" w:name="_Toc136965027"/>
      <w:bookmarkStart w:id="241" w:name="_Toc136965028"/>
      <w:bookmarkStart w:id="242" w:name="_Toc136965029"/>
      <w:bookmarkStart w:id="243" w:name="_Toc136965030"/>
      <w:bookmarkStart w:id="244" w:name="_Toc136965031"/>
      <w:bookmarkStart w:id="245" w:name="_Toc136965032"/>
      <w:bookmarkStart w:id="246" w:name="_Toc136965033"/>
      <w:bookmarkStart w:id="247" w:name="_Toc136965034"/>
      <w:bookmarkStart w:id="248" w:name="_Toc136965035"/>
      <w:bookmarkStart w:id="249" w:name="_Toc136965036"/>
      <w:bookmarkStart w:id="250" w:name="_Toc136965038"/>
      <w:bookmarkStart w:id="251" w:name="_Toc136965039"/>
      <w:bookmarkStart w:id="252" w:name="_Toc136965040"/>
      <w:bookmarkStart w:id="253" w:name="_Toc136965041"/>
      <w:bookmarkStart w:id="254" w:name="_Toc136965042"/>
      <w:bookmarkStart w:id="255" w:name="_Toc136965044"/>
      <w:bookmarkStart w:id="256" w:name="_Toc136965045"/>
      <w:bookmarkStart w:id="257" w:name="_Toc136965046"/>
      <w:bookmarkStart w:id="258" w:name="_Toc136965047"/>
      <w:bookmarkStart w:id="259" w:name="_Toc136965048"/>
      <w:bookmarkStart w:id="260" w:name="_Toc492041265"/>
      <w:bookmarkStart w:id="261" w:name="_Toc492044729"/>
      <w:bookmarkStart w:id="262" w:name="_Toc492056157"/>
      <w:bookmarkStart w:id="263" w:name="_Toc492112723"/>
      <w:bookmarkStart w:id="264" w:name="_Toc492359821"/>
      <w:bookmarkStart w:id="265" w:name="_Toc136965049"/>
      <w:bookmarkStart w:id="266" w:name="_Toc136965050"/>
      <w:bookmarkStart w:id="267" w:name="_Toc136965051"/>
      <w:bookmarkStart w:id="268" w:name="_Toc136965052"/>
      <w:bookmarkStart w:id="269" w:name="_Toc136965053"/>
      <w:bookmarkStart w:id="270" w:name="_Toc136965054"/>
      <w:bookmarkStart w:id="271" w:name="_Toc136965055"/>
      <w:bookmarkEnd w:id="13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3434F16" w14:textId="4CB54A7E" w:rsidR="0000514A" w:rsidRPr="00CD11DE" w:rsidRDefault="0000514A" w:rsidP="00A208D1">
      <w:pPr>
        <w:pStyle w:val="Heading2"/>
      </w:pPr>
      <w:r w:rsidRPr="00CD11DE">
        <w:t>Credit risk</w:t>
      </w:r>
    </w:p>
    <w:p w14:paraId="377F7B61" w14:textId="3D69E6D0" w:rsidR="00545A35" w:rsidRPr="00CD11DE" w:rsidRDefault="00545A35" w:rsidP="00B35480">
      <w:pPr>
        <w:rPr>
          <w:sz w:val="20"/>
          <w:szCs w:val="20"/>
        </w:rPr>
      </w:pPr>
      <w:r w:rsidRPr="00CD11DE">
        <w:rPr>
          <w:sz w:val="20"/>
          <w:szCs w:val="20"/>
        </w:rPr>
        <w:t xml:space="preserve">Credit Risk is defined as loss resulting from (a) the failure of other parties to meet their financial obligations to the Bank and (b) the deterioration of creditworthiness of parties to which the Bank is exposed. Credit Risk losses can arise </w:t>
      </w:r>
      <w:r w:rsidR="007D7D55" w:rsidRPr="00CD11DE">
        <w:rPr>
          <w:sz w:val="20"/>
          <w:szCs w:val="20"/>
        </w:rPr>
        <w:t>because of</w:t>
      </w:r>
      <w:r w:rsidRPr="00CD11DE">
        <w:rPr>
          <w:sz w:val="20"/>
          <w:szCs w:val="20"/>
        </w:rPr>
        <w:t xml:space="preserve"> customer actions (intended or otherwise), weaknesses in security held, or outside influences such as macroeconomic factors.</w:t>
      </w:r>
    </w:p>
    <w:p w14:paraId="11030222" w14:textId="72A7B5AD" w:rsidR="0000514A" w:rsidRPr="00CD11DE" w:rsidRDefault="0000514A" w:rsidP="00545A35">
      <w:pPr>
        <w:ind w:left="-5"/>
        <w:rPr>
          <w:b/>
          <w:sz w:val="20"/>
          <w:szCs w:val="20"/>
        </w:rPr>
      </w:pPr>
      <w:r w:rsidRPr="00CD11DE">
        <w:rPr>
          <w:b/>
          <w:sz w:val="20"/>
          <w:szCs w:val="20"/>
        </w:rPr>
        <w:t xml:space="preserve">Management of credit risk </w:t>
      </w:r>
    </w:p>
    <w:p w14:paraId="49749E20" w14:textId="3289A4C0" w:rsidR="0016058F" w:rsidRPr="00CD11DE" w:rsidRDefault="0016058F" w:rsidP="0016058F">
      <w:pPr>
        <w:rPr>
          <w:sz w:val="20"/>
          <w:szCs w:val="20"/>
        </w:rPr>
      </w:pPr>
      <w:r w:rsidRPr="00CD11DE">
        <w:rPr>
          <w:sz w:val="20"/>
          <w:szCs w:val="20"/>
        </w:rPr>
        <w:t xml:space="preserve">The Board of Directors has delegated responsibility for the management of credit risk to the Credit Risk Committee and the Executive Risk Committee. The Chief Risk Officer is responsible for oversight of the Bank’s credit risk, including: </w:t>
      </w:r>
    </w:p>
    <w:p w14:paraId="19E31522" w14:textId="77777777" w:rsidR="0016058F" w:rsidRPr="00CD11DE" w:rsidRDefault="0016058F" w:rsidP="009262C5">
      <w:pPr>
        <w:pStyle w:val="ListParagraph"/>
        <w:numPr>
          <w:ilvl w:val="0"/>
          <w:numId w:val="3"/>
        </w:numPr>
      </w:pPr>
      <w:r w:rsidRPr="00CD11DE">
        <w:t>Formulating credit policies in consultation with other business units, covering credit assessments, collateral requirements, risk reporting, legal requirements and compliance with regulatory and statutory requirements.</w:t>
      </w:r>
    </w:p>
    <w:p w14:paraId="37AE7538" w14:textId="77777777" w:rsidR="0016058F" w:rsidRPr="00CD11DE" w:rsidRDefault="0016058F" w:rsidP="009262C5">
      <w:pPr>
        <w:pStyle w:val="ListParagraph"/>
        <w:numPr>
          <w:ilvl w:val="0"/>
          <w:numId w:val="3"/>
        </w:numPr>
      </w:pPr>
      <w:r w:rsidRPr="00CD11DE">
        <w:t>Establishing authorisation limits and structures for the approval and renewal of credit exposure limits.</w:t>
      </w:r>
    </w:p>
    <w:p w14:paraId="3AD3C434" w14:textId="77777777" w:rsidR="0016058F" w:rsidRPr="00CD11DE" w:rsidRDefault="0016058F" w:rsidP="009262C5">
      <w:pPr>
        <w:pStyle w:val="ListParagraph"/>
        <w:numPr>
          <w:ilvl w:val="0"/>
          <w:numId w:val="3"/>
        </w:numPr>
      </w:pPr>
      <w:r w:rsidRPr="00CD11DE">
        <w:t xml:space="preserve">Reviewing and assessing credit risk prior to agreements being entered into with customers. </w:t>
      </w:r>
    </w:p>
    <w:p w14:paraId="691AD714" w14:textId="77777777" w:rsidR="0016058F" w:rsidRPr="00CD11DE" w:rsidRDefault="0016058F" w:rsidP="009262C5">
      <w:pPr>
        <w:pStyle w:val="ListParagraph"/>
        <w:numPr>
          <w:ilvl w:val="0"/>
          <w:numId w:val="3"/>
        </w:numPr>
      </w:pPr>
      <w:r w:rsidRPr="00CD11DE">
        <w:t>Limiting concentrations of exposure to counterparties, countries or sectors and reviewing these limits.</w:t>
      </w:r>
    </w:p>
    <w:p w14:paraId="45BA1273" w14:textId="77777777" w:rsidR="0016058F" w:rsidRPr="00CD11DE" w:rsidRDefault="0016058F" w:rsidP="009262C5">
      <w:pPr>
        <w:pStyle w:val="ListParagraph"/>
        <w:numPr>
          <w:ilvl w:val="0"/>
          <w:numId w:val="3"/>
        </w:numPr>
      </w:pPr>
      <w:r w:rsidRPr="00CD11DE">
        <w:t>Ongoing assessment of exposure and implementation of procedures to reduce this exposure.</w:t>
      </w:r>
    </w:p>
    <w:p w14:paraId="0E62AD1B" w14:textId="77777777" w:rsidR="0016058F" w:rsidRPr="00CD11DE" w:rsidRDefault="0016058F" w:rsidP="009262C5">
      <w:pPr>
        <w:pStyle w:val="ListParagraph"/>
        <w:numPr>
          <w:ilvl w:val="0"/>
          <w:numId w:val="3"/>
        </w:numPr>
      </w:pPr>
      <w:r w:rsidRPr="00CD11DE">
        <w:t>Providing advice, guidance and specialist skills to all business areas to promote best practice throughout the Bank in the management of credit risk.</w:t>
      </w:r>
    </w:p>
    <w:p w14:paraId="7A97AACA" w14:textId="22C890EE" w:rsidR="0016058F" w:rsidRPr="00C62D72" w:rsidRDefault="0016058F" w:rsidP="0016058F">
      <w:pPr>
        <w:pStyle w:val="NoSpacing"/>
        <w:spacing w:before="240"/>
        <w:rPr>
          <w:sz w:val="20"/>
          <w:szCs w:val="20"/>
          <w:lang w:val="en-GB"/>
        </w:rPr>
      </w:pPr>
      <w:r w:rsidRPr="00C62D72">
        <w:rPr>
          <w:sz w:val="20"/>
          <w:szCs w:val="20"/>
          <w:lang w:val="en-GB"/>
        </w:rPr>
        <w:lastRenderedPageBreak/>
        <w:t>Adherence to country and counterparty limits</w:t>
      </w:r>
      <w:r w:rsidR="007D7D55">
        <w:rPr>
          <w:sz w:val="20"/>
          <w:szCs w:val="20"/>
          <w:lang w:val="en-GB"/>
        </w:rPr>
        <w:t xml:space="preserve"> </w:t>
      </w:r>
      <w:r w:rsidRPr="00C62D72">
        <w:rPr>
          <w:sz w:val="20"/>
          <w:szCs w:val="20"/>
          <w:lang w:val="en-GB"/>
        </w:rPr>
        <w:t xml:space="preserve"> is monitored on an ongoing basis by the Bank’s Treasury department, with a detailed review of all limits at least annually. Senior management receive regular reports on the utilisation of these limits.</w:t>
      </w:r>
    </w:p>
    <w:p w14:paraId="277FFA40" w14:textId="77777777" w:rsidR="0016058F" w:rsidRPr="00C62D72" w:rsidRDefault="0016058F" w:rsidP="0016058F">
      <w:pPr>
        <w:pStyle w:val="NoSpacing"/>
        <w:rPr>
          <w:sz w:val="20"/>
          <w:szCs w:val="20"/>
          <w:lang w:val="en-GB"/>
        </w:rPr>
      </w:pPr>
    </w:p>
    <w:p w14:paraId="73B02E42" w14:textId="77777777" w:rsidR="0016058F" w:rsidRPr="00C62D72" w:rsidRDefault="0016058F" w:rsidP="0016058F">
      <w:pPr>
        <w:pStyle w:val="NoSpacing"/>
        <w:rPr>
          <w:sz w:val="20"/>
          <w:szCs w:val="20"/>
          <w:lang w:val="en-GB"/>
        </w:rPr>
      </w:pPr>
      <w:r w:rsidRPr="00C62D72">
        <w:rPr>
          <w:sz w:val="20"/>
          <w:szCs w:val="20"/>
          <w:lang w:val="en-GB"/>
        </w:rPr>
        <w:t>The Bank maintains a dynamic approach to credit risk management and aims to take necessary steps if specific issues are identified or if credit performance deteriorates, or is expected to deteriorate, due to customer, economic or sector-specific weaknesses.</w:t>
      </w:r>
    </w:p>
    <w:p w14:paraId="48EB7EFB" w14:textId="77777777" w:rsidR="0016058F" w:rsidRPr="00C62D72" w:rsidRDefault="0016058F" w:rsidP="0016058F">
      <w:pPr>
        <w:pStyle w:val="NoSpacing"/>
        <w:rPr>
          <w:sz w:val="20"/>
          <w:szCs w:val="20"/>
          <w:lang w:val="en-GB"/>
        </w:rPr>
      </w:pPr>
    </w:p>
    <w:p w14:paraId="0D733755" w14:textId="77777777" w:rsidR="0016058F" w:rsidRPr="00C62D72" w:rsidRDefault="0016058F" w:rsidP="0016058F">
      <w:pPr>
        <w:pStyle w:val="NoSpacing"/>
        <w:rPr>
          <w:sz w:val="20"/>
          <w:szCs w:val="20"/>
          <w:lang w:val="en-GB"/>
        </w:rPr>
      </w:pPr>
      <w:r w:rsidRPr="00C62D72">
        <w:rPr>
          <w:sz w:val="20"/>
          <w:szCs w:val="20"/>
          <w:lang w:val="en-GB"/>
        </w:rPr>
        <w:t>The Bank applies the Standardised Approach (‘SA’) in order to calculate its credit risk capital requirements in accordance with Title II, Chapter 2 of the CRR, and any relevant derivations applied by the PRA.</w:t>
      </w:r>
    </w:p>
    <w:p w14:paraId="7458A574" w14:textId="77777777" w:rsidR="0016058F" w:rsidRPr="00CD11DE" w:rsidRDefault="0016058F" w:rsidP="0016058F"/>
    <w:p w14:paraId="35E431FA" w14:textId="7FE8AD59" w:rsidR="0016058F" w:rsidRPr="00CD11DE" w:rsidRDefault="0016058F" w:rsidP="00B35480">
      <w:r w:rsidRPr="00C62D72">
        <w:rPr>
          <w:sz w:val="20"/>
          <w:szCs w:val="20"/>
        </w:rPr>
        <w:t>Table 7 shows the credit risk exposures and the composition of the Pillar 1 capital requirements for credit risk as at 31</w:t>
      </w:r>
      <w:r w:rsidR="00A210C6" w:rsidRPr="00C62D72">
        <w:rPr>
          <w:sz w:val="20"/>
          <w:szCs w:val="20"/>
          <w:vertAlign w:val="superscript"/>
        </w:rPr>
        <w:t>st</w:t>
      </w:r>
      <w:r w:rsidR="00A210C6">
        <w:rPr>
          <w:sz w:val="20"/>
          <w:szCs w:val="20"/>
        </w:rPr>
        <w:t xml:space="preserve"> </w:t>
      </w:r>
      <w:r w:rsidRPr="00C62D72">
        <w:rPr>
          <w:sz w:val="20"/>
          <w:szCs w:val="20"/>
        </w:rPr>
        <w:t xml:space="preserve">December </w:t>
      </w:r>
      <w:r w:rsidR="0023087C">
        <w:rPr>
          <w:sz w:val="20"/>
          <w:szCs w:val="20"/>
        </w:rPr>
        <w:t>2024</w:t>
      </w:r>
      <w:r w:rsidRPr="00C62D72">
        <w:rPr>
          <w:sz w:val="20"/>
          <w:szCs w:val="20"/>
        </w:rPr>
        <w:t xml:space="preserve"> and 31</w:t>
      </w:r>
      <w:r w:rsidR="00A210C6" w:rsidRPr="00C62D72">
        <w:rPr>
          <w:sz w:val="20"/>
          <w:szCs w:val="20"/>
          <w:vertAlign w:val="superscript"/>
        </w:rPr>
        <w:t>st</w:t>
      </w:r>
      <w:r w:rsidRPr="00C62D72">
        <w:rPr>
          <w:sz w:val="20"/>
          <w:szCs w:val="20"/>
        </w:rPr>
        <w:t xml:space="preserve"> December </w:t>
      </w:r>
      <w:r w:rsidR="0023087C">
        <w:rPr>
          <w:sz w:val="20"/>
          <w:szCs w:val="20"/>
        </w:rPr>
        <w:t>2023</w:t>
      </w:r>
      <w:r w:rsidRPr="00C62D72">
        <w:rPr>
          <w:sz w:val="20"/>
          <w:szCs w:val="20"/>
        </w:rPr>
        <w:t>:</w:t>
      </w:r>
    </w:p>
    <w:p w14:paraId="5A170326" w14:textId="270753B0" w:rsidR="006E6460" w:rsidRPr="00CD11DE" w:rsidRDefault="006E6460"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7</w:t>
      </w:r>
      <w:r w:rsidRPr="00CD11DE">
        <w:fldChar w:fldCharType="end"/>
      </w:r>
      <w:r w:rsidRPr="00CD11DE">
        <w:t xml:space="preserve">: Pillar 1 capital requirements: credit risk: 31 December </w:t>
      </w:r>
      <w:r w:rsidR="0023087C">
        <w:t>2024</w:t>
      </w:r>
      <w:r w:rsidRPr="00CD11DE">
        <w:t xml:space="preserve"> (£m)</w:t>
      </w:r>
    </w:p>
    <w:tbl>
      <w:tblPr>
        <w:tblpPr w:leftFromText="180" w:rightFromText="180" w:vertAnchor="text" w:horzAnchor="margin" w:tblpY="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1025"/>
        <w:gridCol w:w="1137"/>
        <w:gridCol w:w="1130"/>
        <w:gridCol w:w="991"/>
        <w:gridCol w:w="968"/>
        <w:gridCol w:w="977"/>
      </w:tblGrid>
      <w:tr w:rsidR="0026497E" w:rsidRPr="00CD11DE" w14:paraId="76285722" w14:textId="77777777" w:rsidTr="006F3279">
        <w:trPr>
          <w:trHeight w:val="283"/>
        </w:trPr>
        <w:tc>
          <w:tcPr>
            <w:tcW w:w="1550" w:type="pct"/>
            <w:shd w:val="clear" w:color="auto" w:fill="06B1D6" w:themeFill="accent1"/>
            <w:vAlign w:val="center"/>
            <w:hideMark/>
          </w:tcPr>
          <w:p w14:paraId="2AA20EE6" w14:textId="55C0E5FF" w:rsidR="0000514A" w:rsidRPr="00CD11DE" w:rsidRDefault="005511F2" w:rsidP="00C1159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568" w:type="pct"/>
            <w:shd w:val="clear" w:color="auto" w:fill="06B1D6" w:themeFill="accent1"/>
            <w:vAlign w:val="center"/>
            <w:hideMark/>
          </w:tcPr>
          <w:p w14:paraId="262244C7"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IFRS Balance Sheet</w:t>
            </w:r>
          </w:p>
        </w:tc>
        <w:tc>
          <w:tcPr>
            <w:tcW w:w="630" w:type="pct"/>
            <w:shd w:val="clear" w:color="auto" w:fill="06B1D6" w:themeFill="accent1"/>
            <w:vAlign w:val="center"/>
          </w:tcPr>
          <w:p w14:paraId="0BB55B1E"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Credit risk exposure</w:t>
            </w:r>
          </w:p>
        </w:tc>
        <w:tc>
          <w:tcPr>
            <w:tcW w:w="626" w:type="pct"/>
            <w:shd w:val="clear" w:color="auto" w:fill="06B1D6" w:themeFill="accent1"/>
            <w:vAlign w:val="center"/>
            <w:hideMark/>
          </w:tcPr>
          <w:p w14:paraId="477532B0"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Average credit risk exposure</w:t>
            </w:r>
          </w:p>
        </w:tc>
        <w:tc>
          <w:tcPr>
            <w:tcW w:w="549" w:type="pct"/>
            <w:shd w:val="clear" w:color="auto" w:fill="06B1D6" w:themeFill="accent1"/>
            <w:vAlign w:val="center"/>
            <w:hideMark/>
          </w:tcPr>
          <w:p w14:paraId="76266AE4"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Risk Weighted Assets</w:t>
            </w:r>
          </w:p>
        </w:tc>
        <w:tc>
          <w:tcPr>
            <w:tcW w:w="536" w:type="pct"/>
            <w:shd w:val="clear" w:color="auto" w:fill="06B1D6" w:themeFill="accent1"/>
            <w:vAlign w:val="center"/>
            <w:hideMark/>
          </w:tcPr>
          <w:p w14:paraId="3ADFAEAE"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 xml:space="preserve">Minimum capital Require- </w:t>
            </w:r>
            <w:proofErr w:type="spellStart"/>
            <w:r w:rsidRPr="00CD11DE">
              <w:rPr>
                <w:rFonts w:eastAsia="Times New Roman"/>
                <w:b/>
                <w:bCs/>
                <w:color w:val="FFFFFF"/>
                <w:sz w:val="16"/>
                <w:szCs w:val="16"/>
              </w:rPr>
              <w:t>ments</w:t>
            </w:r>
            <w:proofErr w:type="spellEnd"/>
          </w:p>
        </w:tc>
        <w:tc>
          <w:tcPr>
            <w:tcW w:w="541" w:type="pct"/>
            <w:shd w:val="clear" w:color="auto" w:fill="06B1D6" w:themeFill="accent1"/>
            <w:vAlign w:val="center"/>
            <w:hideMark/>
          </w:tcPr>
          <w:p w14:paraId="323D1ACF"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 of total RWA</w:t>
            </w:r>
          </w:p>
        </w:tc>
      </w:tr>
      <w:tr w:rsidR="001030FC" w:rsidRPr="00CD11DE" w14:paraId="0E2050CB" w14:textId="77777777" w:rsidTr="006F3279">
        <w:trPr>
          <w:trHeight w:val="283"/>
        </w:trPr>
        <w:tc>
          <w:tcPr>
            <w:tcW w:w="1550" w:type="pct"/>
            <w:shd w:val="clear" w:color="auto" w:fill="06B1D6" w:themeFill="accent1"/>
            <w:vAlign w:val="center"/>
            <w:hideMark/>
          </w:tcPr>
          <w:p w14:paraId="70272B1B"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w:t>
            </w:r>
          </w:p>
        </w:tc>
        <w:tc>
          <w:tcPr>
            <w:tcW w:w="568" w:type="pct"/>
            <w:shd w:val="clear" w:color="auto" w:fill="FFFFFF" w:themeFill="background1"/>
            <w:noWrap/>
          </w:tcPr>
          <w:p w14:paraId="29AD9CA0" w14:textId="4249C219" w:rsidR="001030FC" w:rsidRPr="001030FC" w:rsidRDefault="001030FC" w:rsidP="001030FC">
            <w:pPr>
              <w:keepLines w:val="0"/>
              <w:spacing w:after="0" w:line="240" w:lineRule="auto"/>
              <w:jc w:val="right"/>
              <w:rPr>
                <w:sz w:val="18"/>
                <w:szCs w:val="18"/>
              </w:rPr>
            </w:pPr>
            <w:r w:rsidRPr="007E0530">
              <w:rPr>
                <w:sz w:val="18"/>
                <w:szCs w:val="18"/>
              </w:rPr>
              <w:t>5</w:t>
            </w:r>
            <w:r w:rsidR="009A06EB">
              <w:rPr>
                <w:sz w:val="18"/>
                <w:szCs w:val="18"/>
              </w:rPr>
              <w:t>39.</w:t>
            </w:r>
            <w:r w:rsidR="0014637F">
              <w:rPr>
                <w:sz w:val="18"/>
                <w:szCs w:val="18"/>
              </w:rPr>
              <w:t>4</w:t>
            </w:r>
          </w:p>
        </w:tc>
        <w:tc>
          <w:tcPr>
            <w:tcW w:w="630" w:type="pct"/>
            <w:shd w:val="clear" w:color="auto" w:fill="FFFFFF" w:themeFill="background1"/>
          </w:tcPr>
          <w:p w14:paraId="045E7CAC" w14:textId="2504983F" w:rsidR="001030FC" w:rsidRPr="001030FC" w:rsidRDefault="00AD58CA" w:rsidP="001030FC">
            <w:pPr>
              <w:keepLines w:val="0"/>
              <w:spacing w:after="0" w:line="240" w:lineRule="auto"/>
              <w:jc w:val="right"/>
              <w:rPr>
                <w:sz w:val="18"/>
                <w:szCs w:val="18"/>
              </w:rPr>
            </w:pPr>
            <w:r w:rsidRPr="00643497">
              <w:rPr>
                <w:sz w:val="18"/>
                <w:szCs w:val="18"/>
              </w:rPr>
              <w:t>5</w:t>
            </w:r>
            <w:r>
              <w:rPr>
                <w:sz w:val="18"/>
                <w:szCs w:val="18"/>
              </w:rPr>
              <w:t>39.4</w:t>
            </w:r>
          </w:p>
        </w:tc>
        <w:tc>
          <w:tcPr>
            <w:tcW w:w="626" w:type="pct"/>
            <w:shd w:val="clear" w:color="auto" w:fill="FFFFFF" w:themeFill="background1"/>
            <w:noWrap/>
          </w:tcPr>
          <w:p w14:paraId="37E17E18" w14:textId="3C515D30" w:rsidR="001030FC" w:rsidRPr="001030FC" w:rsidRDefault="001030FC" w:rsidP="001030FC">
            <w:pPr>
              <w:keepLines w:val="0"/>
              <w:spacing w:after="0" w:line="240" w:lineRule="auto"/>
              <w:jc w:val="right"/>
              <w:rPr>
                <w:sz w:val="18"/>
                <w:szCs w:val="18"/>
              </w:rPr>
            </w:pPr>
            <w:r w:rsidRPr="007E0530">
              <w:rPr>
                <w:sz w:val="18"/>
                <w:szCs w:val="18"/>
              </w:rPr>
              <w:t>459.0</w:t>
            </w:r>
          </w:p>
        </w:tc>
        <w:tc>
          <w:tcPr>
            <w:tcW w:w="549" w:type="pct"/>
            <w:shd w:val="clear" w:color="auto" w:fill="FFFFFF" w:themeFill="background1"/>
            <w:noWrap/>
          </w:tcPr>
          <w:p w14:paraId="60AF2D9E" w14:textId="34DB23A6" w:rsidR="001030FC" w:rsidRPr="001030FC" w:rsidRDefault="001030FC" w:rsidP="001030FC">
            <w:pPr>
              <w:keepLines w:val="0"/>
              <w:spacing w:after="0" w:line="240" w:lineRule="auto"/>
              <w:jc w:val="right"/>
              <w:rPr>
                <w:sz w:val="18"/>
                <w:szCs w:val="18"/>
              </w:rPr>
            </w:pPr>
            <w:r w:rsidRPr="007E0530">
              <w:rPr>
                <w:sz w:val="18"/>
                <w:szCs w:val="18"/>
              </w:rPr>
              <w:t>1</w:t>
            </w:r>
            <w:r w:rsidR="005D78D1">
              <w:rPr>
                <w:sz w:val="18"/>
                <w:szCs w:val="18"/>
              </w:rPr>
              <w:t>75</w:t>
            </w:r>
            <w:r w:rsidRPr="007E0530">
              <w:rPr>
                <w:sz w:val="18"/>
                <w:szCs w:val="18"/>
              </w:rPr>
              <w:t>.</w:t>
            </w:r>
            <w:r w:rsidR="005D78D1">
              <w:rPr>
                <w:sz w:val="18"/>
                <w:szCs w:val="18"/>
              </w:rPr>
              <w:t>3</w:t>
            </w:r>
          </w:p>
        </w:tc>
        <w:tc>
          <w:tcPr>
            <w:tcW w:w="536" w:type="pct"/>
            <w:shd w:val="clear" w:color="auto" w:fill="FFFFFF" w:themeFill="background1"/>
            <w:noWrap/>
          </w:tcPr>
          <w:p w14:paraId="3B75EA81" w14:textId="751DA312" w:rsidR="001030FC" w:rsidRPr="001030FC" w:rsidRDefault="001030FC" w:rsidP="001030FC">
            <w:pPr>
              <w:keepLines w:val="0"/>
              <w:spacing w:after="0" w:line="240" w:lineRule="auto"/>
              <w:jc w:val="right"/>
              <w:rPr>
                <w:sz w:val="18"/>
                <w:szCs w:val="18"/>
              </w:rPr>
            </w:pPr>
            <w:r w:rsidRPr="007E0530">
              <w:rPr>
                <w:sz w:val="18"/>
                <w:szCs w:val="18"/>
              </w:rPr>
              <w:t>1</w:t>
            </w:r>
            <w:r w:rsidR="005D78D1">
              <w:rPr>
                <w:sz w:val="18"/>
                <w:szCs w:val="18"/>
              </w:rPr>
              <w:t>4.0</w:t>
            </w:r>
          </w:p>
        </w:tc>
        <w:tc>
          <w:tcPr>
            <w:tcW w:w="541" w:type="pct"/>
            <w:shd w:val="clear" w:color="auto" w:fill="FFFFFF" w:themeFill="background1"/>
            <w:noWrap/>
          </w:tcPr>
          <w:p w14:paraId="35B2241E" w14:textId="3549E231" w:rsidR="001030FC" w:rsidRPr="001030FC" w:rsidRDefault="001030FC" w:rsidP="001030FC">
            <w:pPr>
              <w:keepLines w:val="0"/>
              <w:spacing w:after="0" w:line="240" w:lineRule="auto"/>
              <w:jc w:val="right"/>
              <w:rPr>
                <w:sz w:val="18"/>
                <w:szCs w:val="18"/>
              </w:rPr>
            </w:pPr>
            <w:r w:rsidRPr="007E0530">
              <w:rPr>
                <w:sz w:val="18"/>
                <w:szCs w:val="18"/>
              </w:rPr>
              <w:t>14.</w:t>
            </w:r>
            <w:r w:rsidR="005D78D1">
              <w:rPr>
                <w:sz w:val="18"/>
                <w:szCs w:val="18"/>
              </w:rPr>
              <w:t>8</w:t>
            </w:r>
            <w:r w:rsidRPr="007E0530">
              <w:rPr>
                <w:sz w:val="18"/>
                <w:szCs w:val="18"/>
              </w:rPr>
              <w:t>%</w:t>
            </w:r>
          </w:p>
        </w:tc>
      </w:tr>
      <w:tr w:rsidR="001030FC" w:rsidRPr="00CD11DE" w14:paraId="520CFAF2" w14:textId="77777777" w:rsidTr="006F3279">
        <w:trPr>
          <w:trHeight w:val="283"/>
        </w:trPr>
        <w:tc>
          <w:tcPr>
            <w:tcW w:w="1550" w:type="pct"/>
            <w:shd w:val="clear" w:color="auto" w:fill="06B1D6" w:themeFill="accent1"/>
            <w:vAlign w:val="center"/>
            <w:hideMark/>
          </w:tcPr>
          <w:p w14:paraId="08C83093"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568" w:type="pct"/>
            <w:shd w:val="clear" w:color="auto" w:fill="FFFFFF" w:themeFill="background1"/>
            <w:noWrap/>
          </w:tcPr>
          <w:p w14:paraId="02FC2D0E" w14:textId="561B471F" w:rsidR="001030FC" w:rsidRPr="001030FC" w:rsidRDefault="002D065B" w:rsidP="001030FC">
            <w:pPr>
              <w:keepLines w:val="0"/>
              <w:spacing w:after="0" w:line="240" w:lineRule="auto"/>
              <w:jc w:val="right"/>
              <w:rPr>
                <w:sz w:val="18"/>
                <w:szCs w:val="18"/>
              </w:rPr>
            </w:pPr>
            <w:r>
              <w:rPr>
                <w:sz w:val="18"/>
                <w:szCs w:val="18"/>
              </w:rPr>
              <w:t>141.9</w:t>
            </w:r>
          </w:p>
        </w:tc>
        <w:tc>
          <w:tcPr>
            <w:tcW w:w="630" w:type="pct"/>
            <w:shd w:val="clear" w:color="auto" w:fill="FFFFFF" w:themeFill="background1"/>
          </w:tcPr>
          <w:p w14:paraId="1F5927A9" w14:textId="44B92F79" w:rsidR="001030FC" w:rsidRPr="001030FC" w:rsidRDefault="00AD58CA" w:rsidP="001030FC">
            <w:pPr>
              <w:keepLines w:val="0"/>
              <w:spacing w:after="0" w:line="240" w:lineRule="auto"/>
              <w:jc w:val="right"/>
              <w:rPr>
                <w:sz w:val="18"/>
                <w:szCs w:val="18"/>
              </w:rPr>
            </w:pPr>
            <w:r>
              <w:rPr>
                <w:sz w:val="18"/>
                <w:szCs w:val="18"/>
              </w:rPr>
              <w:t>141.9</w:t>
            </w:r>
          </w:p>
        </w:tc>
        <w:tc>
          <w:tcPr>
            <w:tcW w:w="626" w:type="pct"/>
            <w:shd w:val="clear" w:color="auto" w:fill="FFFFFF" w:themeFill="background1"/>
            <w:noWrap/>
          </w:tcPr>
          <w:p w14:paraId="3A53535E" w14:textId="0F5F1E16" w:rsidR="001030FC" w:rsidRPr="001030FC" w:rsidRDefault="001030FC" w:rsidP="001030FC">
            <w:pPr>
              <w:keepLines w:val="0"/>
              <w:spacing w:after="0" w:line="240" w:lineRule="auto"/>
              <w:jc w:val="right"/>
              <w:rPr>
                <w:sz w:val="18"/>
                <w:szCs w:val="18"/>
              </w:rPr>
            </w:pPr>
            <w:r w:rsidRPr="007E0530">
              <w:rPr>
                <w:sz w:val="18"/>
                <w:szCs w:val="18"/>
              </w:rPr>
              <w:t>146.7</w:t>
            </w:r>
          </w:p>
        </w:tc>
        <w:tc>
          <w:tcPr>
            <w:tcW w:w="549" w:type="pct"/>
            <w:shd w:val="clear" w:color="auto" w:fill="FFFFFF" w:themeFill="background1"/>
            <w:noWrap/>
          </w:tcPr>
          <w:p w14:paraId="29B206E1" w14:textId="7BB428BD" w:rsidR="001030FC" w:rsidRPr="001030FC" w:rsidRDefault="001030FC" w:rsidP="001030FC">
            <w:pPr>
              <w:keepLines w:val="0"/>
              <w:spacing w:after="0" w:line="240" w:lineRule="auto"/>
              <w:jc w:val="right"/>
              <w:rPr>
                <w:sz w:val="18"/>
                <w:szCs w:val="18"/>
              </w:rPr>
            </w:pPr>
            <w:r w:rsidRPr="007E0530">
              <w:rPr>
                <w:sz w:val="18"/>
                <w:szCs w:val="18"/>
              </w:rPr>
              <w:t>19.</w:t>
            </w:r>
            <w:r w:rsidR="005D78D1">
              <w:rPr>
                <w:sz w:val="18"/>
                <w:szCs w:val="18"/>
              </w:rPr>
              <w:t>6</w:t>
            </w:r>
          </w:p>
        </w:tc>
        <w:tc>
          <w:tcPr>
            <w:tcW w:w="536" w:type="pct"/>
            <w:shd w:val="clear" w:color="auto" w:fill="FFFFFF" w:themeFill="background1"/>
            <w:noWrap/>
          </w:tcPr>
          <w:p w14:paraId="2DBEB563" w14:textId="138F1686" w:rsidR="001030FC" w:rsidRPr="001030FC" w:rsidRDefault="001030FC" w:rsidP="001030FC">
            <w:pPr>
              <w:keepLines w:val="0"/>
              <w:spacing w:after="0" w:line="240" w:lineRule="auto"/>
              <w:jc w:val="right"/>
              <w:rPr>
                <w:sz w:val="18"/>
                <w:szCs w:val="18"/>
              </w:rPr>
            </w:pPr>
            <w:r w:rsidRPr="007E0530">
              <w:rPr>
                <w:sz w:val="18"/>
                <w:szCs w:val="18"/>
              </w:rPr>
              <w:t>1.</w:t>
            </w:r>
            <w:r w:rsidR="005D78D1">
              <w:rPr>
                <w:sz w:val="18"/>
                <w:szCs w:val="18"/>
              </w:rPr>
              <w:t>6</w:t>
            </w:r>
          </w:p>
        </w:tc>
        <w:tc>
          <w:tcPr>
            <w:tcW w:w="541" w:type="pct"/>
            <w:shd w:val="clear" w:color="auto" w:fill="FFFFFF" w:themeFill="background1"/>
            <w:noWrap/>
          </w:tcPr>
          <w:p w14:paraId="08417408" w14:textId="3CA659AD" w:rsidR="001030FC" w:rsidRPr="001030FC" w:rsidRDefault="001030FC" w:rsidP="001030FC">
            <w:pPr>
              <w:keepLines w:val="0"/>
              <w:spacing w:after="0" w:line="240" w:lineRule="auto"/>
              <w:jc w:val="right"/>
              <w:rPr>
                <w:sz w:val="18"/>
                <w:szCs w:val="18"/>
              </w:rPr>
            </w:pPr>
            <w:r w:rsidRPr="007E0530">
              <w:rPr>
                <w:sz w:val="18"/>
                <w:szCs w:val="18"/>
              </w:rPr>
              <w:t>1.</w:t>
            </w:r>
            <w:r w:rsidR="005D78D1">
              <w:rPr>
                <w:sz w:val="18"/>
                <w:szCs w:val="18"/>
              </w:rPr>
              <w:t>7</w:t>
            </w:r>
            <w:r w:rsidRPr="007E0530">
              <w:rPr>
                <w:sz w:val="18"/>
                <w:szCs w:val="18"/>
              </w:rPr>
              <w:t>%</w:t>
            </w:r>
          </w:p>
        </w:tc>
      </w:tr>
      <w:tr w:rsidR="001030FC" w:rsidRPr="00CD11DE" w14:paraId="685211B4" w14:textId="77777777" w:rsidTr="006F3279">
        <w:trPr>
          <w:trHeight w:val="283"/>
        </w:trPr>
        <w:tc>
          <w:tcPr>
            <w:tcW w:w="1550" w:type="pct"/>
            <w:shd w:val="clear" w:color="auto" w:fill="06B1D6" w:themeFill="accent1"/>
            <w:vAlign w:val="center"/>
            <w:hideMark/>
          </w:tcPr>
          <w:p w14:paraId="5703FDEA"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568" w:type="pct"/>
            <w:shd w:val="clear" w:color="auto" w:fill="FFFFFF" w:themeFill="background1"/>
            <w:noWrap/>
          </w:tcPr>
          <w:p w14:paraId="4F30D858" w14:textId="1045315A" w:rsidR="001030FC" w:rsidRPr="001030FC" w:rsidRDefault="001030FC" w:rsidP="001030FC">
            <w:pPr>
              <w:keepLines w:val="0"/>
              <w:spacing w:after="0" w:line="240" w:lineRule="auto"/>
              <w:jc w:val="right"/>
              <w:rPr>
                <w:sz w:val="18"/>
                <w:szCs w:val="18"/>
              </w:rPr>
            </w:pPr>
            <w:r w:rsidRPr="007E0530">
              <w:rPr>
                <w:sz w:val="18"/>
                <w:szCs w:val="18"/>
              </w:rPr>
              <w:t>933</w:t>
            </w:r>
            <w:r w:rsidR="00AD58CA">
              <w:rPr>
                <w:sz w:val="18"/>
                <w:szCs w:val="18"/>
              </w:rPr>
              <w:t>.0</w:t>
            </w:r>
          </w:p>
        </w:tc>
        <w:tc>
          <w:tcPr>
            <w:tcW w:w="630" w:type="pct"/>
            <w:shd w:val="clear" w:color="auto" w:fill="FFFFFF" w:themeFill="background1"/>
          </w:tcPr>
          <w:p w14:paraId="1FE875BF" w14:textId="43033DF7" w:rsidR="001030FC" w:rsidRPr="001030FC" w:rsidRDefault="00AD58CA" w:rsidP="001030FC">
            <w:pPr>
              <w:keepLines w:val="0"/>
              <w:spacing w:after="0" w:line="240" w:lineRule="auto"/>
              <w:jc w:val="right"/>
              <w:rPr>
                <w:sz w:val="18"/>
                <w:szCs w:val="18"/>
              </w:rPr>
            </w:pPr>
            <w:r w:rsidRPr="00643497">
              <w:rPr>
                <w:sz w:val="18"/>
                <w:szCs w:val="18"/>
              </w:rPr>
              <w:t>933</w:t>
            </w:r>
            <w:r>
              <w:rPr>
                <w:sz w:val="18"/>
                <w:szCs w:val="18"/>
              </w:rPr>
              <w:t>.0</w:t>
            </w:r>
          </w:p>
        </w:tc>
        <w:tc>
          <w:tcPr>
            <w:tcW w:w="626" w:type="pct"/>
            <w:shd w:val="clear" w:color="auto" w:fill="FFFFFF" w:themeFill="background1"/>
            <w:noWrap/>
          </w:tcPr>
          <w:p w14:paraId="33F9E8B2" w14:textId="6E6CFEED" w:rsidR="001030FC" w:rsidRPr="001030FC" w:rsidRDefault="001030FC" w:rsidP="001030FC">
            <w:pPr>
              <w:keepLines w:val="0"/>
              <w:spacing w:after="0" w:line="240" w:lineRule="auto"/>
              <w:jc w:val="right"/>
              <w:rPr>
                <w:sz w:val="18"/>
                <w:szCs w:val="18"/>
              </w:rPr>
            </w:pPr>
            <w:r w:rsidRPr="007E0530">
              <w:rPr>
                <w:sz w:val="18"/>
                <w:szCs w:val="18"/>
              </w:rPr>
              <w:t>952.5</w:t>
            </w:r>
          </w:p>
        </w:tc>
        <w:tc>
          <w:tcPr>
            <w:tcW w:w="549" w:type="pct"/>
            <w:shd w:val="clear" w:color="auto" w:fill="FFFFFF" w:themeFill="background1"/>
            <w:noWrap/>
          </w:tcPr>
          <w:p w14:paraId="1560B302" w14:textId="58284EA8" w:rsidR="001030FC" w:rsidRPr="001030FC" w:rsidRDefault="001030FC" w:rsidP="001030FC">
            <w:pPr>
              <w:keepLines w:val="0"/>
              <w:spacing w:after="0" w:line="240" w:lineRule="auto"/>
              <w:jc w:val="right"/>
              <w:rPr>
                <w:sz w:val="18"/>
                <w:szCs w:val="18"/>
              </w:rPr>
            </w:pPr>
            <w:r w:rsidRPr="007E0530">
              <w:rPr>
                <w:sz w:val="18"/>
                <w:szCs w:val="18"/>
              </w:rPr>
              <w:t>34</w:t>
            </w:r>
            <w:r w:rsidR="005D78D1">
              <w:rPr>
                <w:sz w:val="18"/>
                <w:szCs w:val="18"/>
              </w:rPr>
              <w:t>4.7</w:t>
            </w:r>
          </w:p>
        </w:tc>
        <w:tc>
          <w:tcPr>
            <w:tcW w:w="536" w:type="pct"/>
            <w:shd w:val="clear" w:color="auto" w:fill="FFFFFF" w:themeFill="background1"/>
            <w:noWrap/>
          </w:tcPr>
          <w:p w14:paraId="39C00C00" w14:textId="1D5E77C6" w:rsidR="001030FC" w:rsidRPr="001030FC" w:rsidRDefault="001030FC" w:rsidP="001030FC">
            <w:pPr>
              <w:keepLines w:val="0"/>
              <w:spacing w:after="0" w:line="240" w:lineRule="auto"/>
              <w:jc w:val="right"/>
              <w:rPr>
                <w:sz w:val="18"/>
                <w:szCs w:val="18"/>
              </w:rPr>
            </w:pPr>
            <w:r w:rsidRPr="007E0530">
              <w:rPr>
                <w:sz w:val="18"/>
                <w:szCs w:val="18"/>
              </w:rPr>
              <w:t>27.6</w:t>
            </w:r>
          </w:p>
        </w:tc>
        <w:tc>
          <w:tcPr>
            <w:tcW w:w="541" w:type="pct"/>
            <w:shd w:val="clear" w:color="auto" w:fill="FFFFFF" w:themeFill="background1"/>
            <w:noWrap/>
          </w:tcPr>
          <w:p w14:paraId="17991F4A" w14:textId="599B99B6" w:rsidR="001030FC" w:rsidRPr="001030FC" w:rsidRDefault="001030FC" w:rsidP="001030FC">
            <w:pPr>
              <w:keepLines w:val="0"/>
              <w:spacing w:after="0" w:line="240" w:lineRule="auto"/>
              <w:jc w:val="right"/>
              <w:rPr>
                <w:sz w:val="18"/>
                <w:szCs w:val="18"/>
              </w:rPr>
            </w:pPr>
            <w:r w:rsidRPr="007E0530">
              <w:rPr>
                <w:sz w:val="18"/>
                <w:szCs w:val="18"/>
              </w:rPr>
              <w:t>29.</w:t>
            </w:r>
            <w:r w:rsidR="005D78D1">
              <w:rPr>
                <w:sz w:val="18"/>
                <w:szCs w:val="18"/>
              </w:rPr>
              <w:t>0</w:t>
            </w:r>
            <w:r w:rsidRPr="007E0530">
              <w:rPr>
                <w:sz w:val="18"/>
                <w:szCs w:val="18"/>
              </w:rPr>
              <w:t>%</w:t>
            </w:r>
          </w:p>
        </w:tc>
      </w:tr>
      <w:tr w:rsidR="00AD58CA" w:rsidRPr="00CD11DE" w14:paraId="12F2DB90" w14:textId="77777777" w:rsidTr="006F3279">
        <w:trPr>
          <w:trHeight w:val="283"/>
        </w:trPr>
        <w:tc>
          <w:tcPr>
            <w:tcW w:w="1550" w:type="pct"/>
            <w:shd w:val="clear" w:color="auto" w:fill="06B1D6" w:themeFill="accent1"/>
            <w:vAlign w:val="center"/>
            <w:hideMark/>
          </w:tcPr>
          <w:p w14:paraId="2F7E0C98" w14:textId="31CDDFC1" w:rsidR="00AD58CA" w:rsidRPr="00CD11DE" w:rsidRDefault="00AD58CA" w:rsidP="00AD58C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bookmarkStart w:id="272" w:name="_Ref169704779"/>
            <w:r>
              <w:rPr>
                <w:rStyle w:val="FootnoteReference"/>
                <w:rFonts w:eastAsia="Times New Roman"/>
                <w:b/>
                <w:bCs/>
                <w:color w:val="FFFFFF"/>
                <w:sz w:val="18"/>
                <w:szCs w:val="18"/>
              </w:rPr>
              <w:footnoteReference w:id="4"/>
            </w:r>
            <w:bookmarkEnd w:id="272"/>
          </w:p>
        </w:tc>
        <w:tc>
          <w:tcPr>
            <w:tcW w:w="568" w:type="pct"/>
            <w:shd w:val="clear" w:color="auto" w:fill="FFFFFF" w:themeFill="background1"/>
            <w:noWrap/>
          </w:tcPr>
          <w:p w14:paraId="11B5F3C5" w14:textId="50A9DF3A" w:rsidR="00AD58CA" w:rsidRPr="001030FC" w:rsidRDefault="00AD58CA" w:rsidP="00AD58CA">
            <w:pPr>
              <w:keepLines w:val="0"/>
              <w:spacing w:after="0" w:line="240" w:lineRule="auto"/>
              <w:jc w:val="right"/>
              <w:rPr>
                <w:sz w:val="18"/>
                <w:szCs w:val="18"/>
              </w:rPr>
            </w:pPr>
            <w:r w:rsidRPr="007E0530">
              <w:rPr>
                <w:sz w:val="18"/>
                <w:szCs w:val="18"/>
              </w:rPr>
              <w:t>1,17</w:t>
            </w:r>
            <w:r>
              <w:rPr>
                <w:sz w:val="18"/>
                <w:szCs w:val="18"/>
              </w:rPr>
              <w:t>3.9</w:t>
            </w:r>
          </w:p>
        </w:tc>
        <w:tc>
          <w:tcPr>
            <w:tcW w:w="630" w:type="pct"/>
            <w:shd w:val="clear" w:color="auto" w:fill="FFFFFF" w:themeFill="background1"/>
          </w:tcPr>
          <w:p w14:paraId="0C558A29" w14:textId="4373C179" w:rsidR="00AD58CA" w:rsidRPr="001030FC" w:rsidRDefault="00AD58CA" w:rsidP="00AD58CA">
            <w:pPr>
              <w:keepLines w:val="0"/>
              <w:spacing w:after="0" w:line="240" w:lineRule="auto"/>
              <w:jc w:val="right"/>
              <w:rPr>
                <w:sz w:val="18"/>
                <w:szCs w:val="18"/>
              </w:rPr>
            </w:pPr>
            <w:r w:rsidRPr="00643497">
              <w:rPr>
                <w:sz w:val="18"/>
                <w:szCs w:val="18"/>
              </w:rPr>
              <w:t>1,17</w:t>
            </w:r>
            <w:r>
              <w:rPr>
                <w:sz w:val="18"/>
                <w:szCs w:val="18"/>
              </w:rPr>
              <w:t>3.9</w:t>
            </w:r>
          </w:p>
        </w:tc>
        <w:tc>
          <w:tcPr>
            <w:tcW w:w="626" w:type="pct"/>
            <w:shd w:val="clear" w:color="auto" w:fill="FFFFFF" w:themeFill="background1"/>
            <w:noWrap/>
          </w:tcPr>
          <w:p w14:paraId="48A20635" w14:textId="4AD21C18" w:rsidR="00AD58CA" w:rsidRPr="001030FC" w:rsidRDefault="00AD58CA" w:rsidP="00AD58CA">
            <w:pPr>
              <w:keepLines w:val="0"/>
              <w:spacing w:after="0" w:line="240" w:lineRule="auto"/>
              <w:jc w:val="right"/>
              <w:rPr>
                <w:sz w:val="18"/>
                <w:szCs w:val="18"/>
              </w:rPr>
            </w:pPr>
            <w:r w:rsidRPr="007E0530">
              <w:rPr>
                <w:sz w:val="18"/>
                <w:szCs w:val="18"/>
              </w:rPr>
              <w:t>1,045.0</w:t>
            </w:r>
          </w:p>
        </w:tc>
        <w:tc>
          <w:tcPr>
            <w:tcW w:w="549" w:type="pct"/>
            <w:shd w:val="clear" w:color="auto" w:fill="FFFFFF" w:themeFill="background1"/>
            <w:noWrap/>
          </w:tcPr>
          <w:p w14:paraId="0AD50BC1" w14:textId="2166D43D" w:rsidR="00AD58CA" w:rsidRPr="001030FC" w:rsidRDefault="00AD58CA" w:rsidP="00AD58CA">
            <w:pPr>
              <w:keepLines w:val="0"/>
              <w:spacing w:after="0" w:line="240" w:lineRule="auto"/>
              <w:jc w:val="right"/>
              <w:rPr>
                <w:sz w:val="18"/>
                <w:szCs w:val="18"/>
              </w:rPr>
            </w:pPr>
            <w:r>
              <w:rPr>
                <w:sz w:val="18"/>
                <w:szCs w:val="18"/>
              </w:rPr>
              <w:t>599.</w:t>
            </w:r>
            <w:r w:rsidR="005D78D1">
              <w:rPr>
                <w:sz w:val="18"/>
                <w:szCs w:val="18"/>
              </w:rPr>
              <w:t>3</w:t>
            </w:r>
          </w:p>
        </w:tc>
        <w:tc>
          <w:tcPr>
            <w:tcW w:w="536" w:type="pct"/>
            <w:shd w:val="clear" w:color="auto" w:fill="FFFFFF" w:themeFill="background1"/>
            <w:noWrap/>
          </w:tcPr>
          <w:p w14:paraId="2A309F31" w14:textId="00FC855B" w:rsidR="00AD58CA" w:rsidRPr="001030FC" w:rsidRDefault="00AD58CA" w:rsidP="00AD58CA">
            <w:pPr>
              <w:keepLines w:val="0"/>
              <w:spacing w:after="0" w:line="240" w:lineRule="auto"/>
              <w:jc w:val="right"/>
              <w:rPr>
                <w:sz w:val="18"/>
                <w:szCs w:val="18"/>
              </w:rPr>
            </w:pPr>
            <w:r>
              <w:rPr>
                <w:sz w:val="18"/>
                <w:szCs w:val="18"/>
              </w:rPr>
              <w:t>4</w:t>
            </w:r>
            <w:r w:rsidR="005D78D1">
              <w:rPr>
                <w:sz w:val="18"/>
                <w:szCs w:val="18"/>
              </w:rPr>
              <w:t>7.9</w:t>
            </w:r>
          </w:p>
        </w:tc>
        <w:tc>
          <w:tcPr>
            <w:tcW w:w="541" w:type="pct"/>
            <w:shd w:val="clear" w:color="auto" w:fill="FFFFFF" w:themeFill="background1"/>
            <w:noWrap/>
          </w:tcPr>
          <w:p w14:paraId="2657D77F" w14:textId="4B5696AA" w:rsidR="00AD58CA" w:rsidRPr="001030FC" w:rsidRDefault="00AD58CA" w:rsidP="00AD58CA">
            <w:pPr>
              <w:keepLines w:val="0"/>
              <w:spacing w:after="0" w:line="240" w:lineRule="auto"/>
              <w:jc w:val="right"/>
              <w:rPr>
                <w:sz w:val="18"/>
                <w:szCs w:val="18"/>
              </w:rPr>
            </w:pPr>
            <w:r>
              <w:rPr>
                <w:sz w:val="18"/>
                <w:szCs w:val="18"/>
              </w:rPr>
              <w:t>50.</w:t>
            </w:r>
            <w:r w:rsidR="005D78D1">
              <w:rPr>
                <w:sz w:val="18"/>
                <w:szCs w:val="18"/>
              </w:rPr>
              <w:t>5</w:t>
            </w:r>
            <w:r w:rsidRPr="007E0530">
              <w:rPr>
                <w:sz w:val="18"/>
                <w:szCs w:val="18"/>
              </w:rPr>
              <w:t>%</w:t>
            </w:r>
          </w:p>
        </w:tc>
      </w:tr>
      <w:tr w:rsidR="00AD58CA" w:rsidRPr="00CD11DE" w14:paraId="256073D2" w14:textId="77777777" w:rsidTr="006F3279">
        <w:trPr>
          <w:trHeight w:val="283"/>
        </w:trPr>
        <w:tc>
          <w:tcPr>
            <w:tcW w:w="1550" w:type="pct"/>
            <w:shd w:val="clear" w:color="auto" w:fill="06B1D6" w:themeFill="accent1"/>
            <w:vAlign w:val="center"/>
            <w:hideMark/>
          </w:tcPr>
          <w:p w14:paraId="09DDCE2D" w14:textId="55FE6741" w:rsidR="00AD58CA" w:rsidRPr="00CD11DE" w:rsidRDefault="00AD58CA" w:rsidP="00AD58C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 assets</w:t>
            </w:r>
            <w:bookmarkStart w:id="273" w:name="_Ref169705389"/>
            <w:r>
              <w:rPr>
                <w:rStyle w:val="FootnoteReference"/>
                <w:rFonts w:eastAsia="Times New Roman"/>
                <w:b/>
                <w:bCs/>
                <w:color w:val="FFFFFF"/>
                <w:sz w:val="18"/>
                <w:szCs w:val="18"/>
              </w:rPr>
              <w:footnoteReference w:id="5"/>
            </w:r>
            <w:bookmarkEnd w:id="273"/>
          </w:p>
        </w:tc>
        <w:tc>
          <w:tcPr>
            <w:tcW w:w="568" w:type="pct"/>
            <w:shd w:val="clear" w:color="auto" w:fill="FFFFFF" w:themeFill="background1"/>
            <w:noWrap/>
          </w:tcPr>
          <w:p w14:paraId="1D3B43EE" w14:textId="593B80E5" w:rsidR="00AD58CA" w:rsidRPr="001030FC" w:rsidRDefault="00AD58CA" w:rsidP="00AD58CA">
            <w:pPr>
              <w:keepLines w:val="0"/>
              <w:spacing w:after="0" w:line="240" w:lineRule="auto"/>
              <w:jc w:val="right"/>
              <w:rPr>
                <w:sz w:val="18"/>
                <w:szCs w:val="18"/>
              </w:rPr>
            </w:pPr>
            <w:r>
              <w:rPr>
                <w:sz w:val="18"/>
                <w:szCs w:val="18"/>
              </w:rPr>
              <w:t>47.5</w:t>
            </w:r>
          </w:p>
        </w:tc>
        <w:tc>
          <w:tcPr>
            <w:tcW w:w="630" w:type="pct"/>
            <w:shd w:val="clear" w:color="auto" w:fill="FFFFFF" w:themeFill="background1"/>
          </w:tcPr>
          <w:p w14:paraId="05A9C20E" w14:textId="2E48EC9C" w:rsidR="00AD58CA" w:rsidRPr="001030FC" w:rsidRDefault="00AD58CA" w:rsidP="00AD58CA">
            <w:pPr>
              <w:keepLines w:val="0"/>
              <w:spacing w:after="0" w:line="240" w:lineRule="auto"/>
              <w:jc w:val="right"/>
              <w:rPr>
                <w:sz w:val="18"/>
                <w:szCs w:val="18"/>
              </w:rPr>
            </w:pPr>
            <w:r w:rsidRPr="007E0530">
              <w:rPr>
                <w:sz w:val="18"/>
                <w:szCs w:val="18"/>
              </w:rPr>
              <w:t>4</w:t>
            </w:r>
            <w:r>
              <w:rPr>
                <w:sz w:val="18"/>
                <w:szCs w:val="18"/>
              </w:rPr>
              <w:t>2</w:t>
            </w:r>
            <w:r w:rsidRPr="007E0530">
              <w:rPr>
                <w:sz w:val="18"/>
                <w:szCs w:val="18"/>
              </w:rPr>
              <w:t>.</w:t>
            </w:r>
            <w:r w:rsidR="005D78D1">
              <w:rPr>
                <w:sz w:val="18"/>
                <w:szCs w:val="18"/>
              </w:rPr>
              <w:t>5</w:t>
            </w:r>
          </w:p>
        </w:tc>
        <w:tc>
          <w:tcPr>
            <w:tcW w:w="626" w:type="pct"/>
            <w:shd w:val="clear" w:color="auto" w:fill="FFFFFF" w:themeFill="background1"/>
            <w:noWrap/>
          </w:tcPr>
          <w:p w14:paraId="5C86363A" w14:textId="3EA9DFE2" w:rsidR="00AD58CA" w:rsidRPr="001030FC" w:rsidRDefault="00AD58CA" w:rsidP="00AD58CA">
            <w:pPr>
              <w:keepLines w:val="0"/>
              <w:spacing w:after="0" w:line="240" w:lineRule="auto"/>
              <w:jc w:val="right"/>
              <w:rPr>
                <w:sz w:val="18"/>
                <w:szCs w:val="18"/>
              </w:rPr>
            </w:pPr>
            <w:r w:rsidRPr="007E0530">
              <w:rPr>
                <w:sz w:val="18"/>
                <w:szCs w:val="18"/>
              </w:rPr>
              <w:t>39.9</w:t>
            </w:r>
          </w:p>
        </w:tc>
        <w:tc>
          <w:tcPr>
            <w:tcW w:w="549" w:type="pct"/>
            <w:shd w:val="clear" w:color="auto" w:fill="FFFFFF" w:themeFill="background1"/>
            <w:noWrap/>
          </w:tcPr>
          <w:p w14:paraId="23DB302E" w14:textId="4607C6EC" w:rsidR="00AD58CA" w:rsidRPr="001030FC" w:rsidRDefault="00AD58CA" w:rsidP="00AD58CA">
            <w:pPr>
              <w:keepLines w:val="0"/>
              <w:spacing w:after="0" w:line="240" w:lineRule="auto"/>
              <w:jc w:val="right"/>
              <w:rPr>
                <w:sz w:val="18"/>
                <w:szCs w:val="18"/>
              </w:rPr>
            </w:pPr>
            <w:r w:rsidRPr="007E0530">
              <w:rPr>
                <w:sz w:val="18"/>
                <w:szCs w:val="18"/>
              </w:rPr>
              <w:t>4</w:t>
            </w:r>
            <w:r w:rsidR="005D78D1">
              <w:rPr>
                <w:sz w:val="18"/>
                <w:szCs w:val="18"/>
              </w:rPr>
              <w:t>1</w:t>
            </w:r>
            <w:r w:rsidRPr="007E0530">
              <w:rPr>
                <w:sz w:val="18"/>
                <w:szCs w:val="18"/>
              </w:rPr>
              <w:t>.</w:t>
            </w:r>
            <w:r w:rsidR="005D78D1">
              <w:rPr>
                <w:sz w:val="18"/>
                <w:szCs w:val="18"/>
              </w:rPr>
              <w:t>3</w:t>
            </w:r>
          </w:p>
        </w:tc>
        <w:tc>
          <w:tcPr>
            <w:tcW w:w="536" w:type="pct"/>
            <w:shd w:val="clear" w:color="auto" w:fill="FFFFFF" w:themeFill="background1"/>
            <w:noWrap/>
          </w:tcPr>
          <w:p w14:paraId="2AD417C6" w14:textId="1924728A" w:rsidR="00AD58CA" w:rsidRPr="001030FC" w:rsidRDefault="00AD58CA" w:rsidP="00AD58CA">
            <w:pPr>
              <w:keepLines w:val="0"/>
              <w:spacing w:after="0" w:line="240" w:lineRule="auto"/>
              <w:jc w:val="right"/>
              <w:rPr>
                <w:sz w:val="18"/>
                <w:szCs w:val="18"/>
              </w:rPr>
            </w:pPr>
            <w:r w:rsidRPr="007E0530">
              <w:rPr>
                <w:sz w:val="18"/>
                <w:szCs w:val="18"/>
              </w:rPr>
              <w:t>3.</w:t>
            </w:r>
            <w:r w:rsidR="005D78D1">
              <w:rPr>
                <w:sz w:val="18"/>
                <w:szCs w:val="18"/>
              </w:rPr>
              <w:t>3</w:t>
            </w:r>
          </w:p>
        </w:tc>
        <w:tc>
          <w:tcPr>
            <w:tcW w:w="541" w:type="pct"/>
            <w:shd w:val="clear" w:color="auto" w:fill="FFFFFF" w:themeFill="background1"/>
            <w:noWrap/>
          </w:tcPr>
          <w:p w14:paraId="25A0D036" w14:textId="20F5D460" w:rsidR="00AD58CA" w:rsidRPr="001030FC" w:rsidRDefault="00AD58CA" w:rsidP="00AD58CA">
            <w:pPr>
              <w:keepLines w:val="0"/>
              <w:spacing w:after="0" w:line="240" w:lineRule="auto"/>
              <w:jc w:val="right"/>
              <w:rPr>
                <w:sz w:val="18"/>
                <w:szCs w:val="18"/>
              </w:rPr>
            </w:pPr>
            <w:r w:rsidRPr="007E0530">
              <w:rPr>
                <w:sz w:val="18"/>
                <w:szCs w:val="18"/>
              </w:rPr>
              <w:t>3.</w:t>
            </w:r>
            <w:r w:rsidR="005D78D1">
              <w:rPr>
                <w:sz w:val="18"/>
                <w:szCs w:val="18"/>
              </w:rPr>
              <w:t>5</w:t>
            </w:r>
            <w:r w:rsidRPr="007E0530">
              <w:rPr>
                <w:sz w:val="18"/>
                <w:szCs w:val="18"/>
              </w:rPr>
              <w:t>%</w:t>
            </w:r>
          </w:p>
        </w:tc>
      </w:tr>
      <w:tr w:rsidR="00AD58CA" w:rsidRPr="001030FC" w14:paraId="303A0ECD" w14:textId="77777777" w:rsidTr="006F3279">
        <w:trPr>
          <w:trHeight w:val="283"/>
        </w:trPr>
        <w:tc>
          <w:tcPr>
            <w:tcW w:w="1550" w:type="pct"/>
            <w:shd w:val="clear" w:color="auto" w:fill="06B1D6" w:themeFill="accent1"/>
            <w:vAlign w:val="center"/>
            <w:hideMark/>
          </w:tcPr>
          <w:p w14:paraId="00480EB8" w14:textId="77777777" w:rsidR="00AD58CA" w:rsidRPr="00CD11DE" w:rsidRDefault="00AD58CA" w:rsidP="00AD58C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Sub-total</w:t>
            </w:r>
          </w:p>
        </w:tc>
        <w:tc>
          <w:tcPr>
            <w:tcW w:w="568" w:type="pct"/>
            <w:shd w:val="clear" w:color="auto" w:fill="FFFFFF" w:themeFill="background1"/>
            <w:noWrap/>
          </w:tcPr>
          <w:p w14:paraId="67694AA2" w14:textId="090F4312" w:rsidR="00AD58CA" w:rsidRPr="001030FC" w:rsidRDefault="00AD58CA" w:rsidP="00AD58CA">
            <w:pPr>
              <w:keepLines w:val="0"/>
              <w:spacing w:after="0" w:line="240" w:lineRule="auto"/>
              <w:jc w:val="right"/>
              <w:rPr>
                <w:b/>
                <w:bCs/>
                <w:sz w:val="18"/>
                <w:szCs w:val="18"/>
              </w:rPr>
            </w:pPr>
            <w:r w:rsidRPr="007E0530">
              <w:rPr>
                <w:b/>
                <w:bCs/>
                <w:sz w:val="18"/>
                <w:szCs w:val="18"/>
              </w:rPr>
              <w:t>2,8</w:t>
            </w:r>
            <w:r>
              <w:rPr>
                <w:b/>
                <w:bCs/>
                <w:sz w:val="18"/>
                <w:szCs w:val="18"/>
              </w:rPr>
              <w:t>35.7</w:t>
            </w:r>
          </w:p>
        </w:tc>
        <w:tc>
          <w:tcPr>
            <w:tcW w:w="630" w:type="pct"/>
            <w:shd w:val="clear" w:color="auto" w:fill="FFFFFF" w:themeFill="background1"/>
          </w:tcPr>
          <w:p w14:paraId="4D6125FC" w14:textId="78C3CD13" w:rsidR="00AD58CA" w:rsidRPr="001030FC" w:rsidRDefault="00AD58CA" w:rsidP="00AD58CA">
            <w:pPr>
              <w:keepLines w:val="0"/>
              <w:spacing w:after="0" w:line="240" w:lineRule="auto"/>
              <w:jc w:val="right"/>
              <w:rPr>
                <w:b/>
                <w:bCs/>
                <w:sz w:val="18"/>
                <w:szCs w:val="18"/>
              </w:rPr>
            </w:pPr>
            <w:r w:rsidRPr="007E0530">
              <w:rPr>
                <w:b/>
                <w:bCs/>
                <w:sz w:val="18"/>
                <w:szCs w:val="18"/>
              </w:rPr>
              <w:t>2,8</w:t>
            </w:r>
            <w:r w:rsidR="005D78D1">
              <w:rPr>
                <w:b/>
                <w:bCs/>
                <w:sz w:val="18"/>
                <w:szCs w:val="18"/>
              </w:rPr>
              <w:t>30.7</w:t>
            </w:r>
          </w:p>
        </w:tc>
        <w:tc>
          <w:tcPr>
            <w:tcW w:w="626" w:type="pct"/>
            <w:shd w:val="clear" w:color="auto" w:fill="FFFFFF" w:themeFill="background1"/>
            <w:noWrap/>
          </w:tcPr>
          <w:p w14:paraId="22FB0373" w14:textId="0A9F53FB" w:rsidR="00AD58CA" w:rsidRPr="001030FC" w:rsidRDefault="00AD58CA" w:rsidP="00AD58CA">
            <w:pPr>
              <w:keepLines w:val="0"/>
              <w:spacing w:after="0" w:line="240" w:lineRule="auto"/>
              <w:jc w:val="right"/>
              <w:rPr>
                <w:b/>
                <w:bCs/>
                <w:sz w:val="18"/>
                <w:szCs w:val="18"/>
              </w:rPr>
            </w:pPr>
            <w:r w:rsidRPr="007E0530">
              <w:rPr>
                <w:b/>
                <w:bCs/>
                <w:sz w:val="18"/>
                <w:szCs w:val="18"/>
              </w:rPr>
              <w:t>2,643.2</w:t>
            </w:r>
          </w:p>
        </w:tc>
        <w:tc>
          <w:tcPr>
            <w:tcW w:w="549" w:type="pct"/>
            <w:shd w:val="clear" w:color="auto" w:fill="FFFFFF" w:themeFill="background1"/>
            <w:noWrap/>
          </w:tcPr>
          <w:p w14:paraId="12C01085" w14:textId="5A8F4A57" w:rsidR="00AD58CA" w:rsidRPr="001030FC" w:rsidRDefault="00AD58CA" w:rsidP="00AD58CA">
            <w:pPr>
              <w:keepLines w:val="0"/>
              <w:spacing w:after="0" w:line="240" w:lineRule="auto"/>
              <w:jc w:val="right"/>
              <w:rPr>
                <w:b/>
                <w:bCs/>
                <w:sz w:val="18"/>
                <w:szCs w:val="18"/>
              </w:rPr>
            </w:pPr>
            <w:r w:rsidRPr="007E0530">
              <w:rPr>
                <w:b/>
                <w:bCs/>
                <w:sz w:val="18"/>
                <w:szCs w:val="18"/>
              </w:rPr>
              <w:t>1,1</w:t>
            </w:r>
            <w:r w:rsidR="005D78D1">
              <w:rPr>
                <w:b/>
                <w:bCs/>
                <w:sz w:val="18"/>
                <w:szCs w:val="18"/>
              </w:rPr>
              <w:t>80</w:t>
            </w:r>
            <w:r>
              <w:rPr>
                <w:b/>
                <w:bCs/>
                <w:sz w:val="18"/>
                <w:szCs w:val="18"/>
              </w:rPr>
              <w:t>.</w:t>
            </w:r>
            <w:r w:rsidR="005D78D1">
              <w:rPr>
                <w:b/>
                <w:bCs/>
                <w:sz w:val="18"/>
                <w:szCs w:val="18"/>
              </w:rPr>
              <w:t>2</w:t>
            </w:r>
          </w:p>
        </w:tc>
        <w:tc>
          <w:tcPr>
            <w:tcW w:w="536" w:type="pct"/>
            <w:shd w:val="clear" w:color="auto" w:fill="FFFFFF" w:themeFill="background1"/>
            <w:noWrap/>
          </w:tcPr>
          <w:p w14:paraId="6D468B91" w14:textId="6E7D54A9" w:rsidR="00AD58CA" w:rsidRPr="001030FC" w:rsidRDefault="00AD58CA" w:rsidP="00AD58CA">
            <w:pPr>
              <w:keepLines w:val="0"/>
              <w:spacing w:after="0" w:line="240" w:lineRule="auto"/>
              <w:jc w:val="right"/>
              <w:rPr>
                <w:b/>
                <w:bCs/>
                <w:sz w:val="18"/>
                <w:szCs w:val="18"/>
              </w:rPr>
            </w:pPr>
            <w:r w:rsidRPr="007E0530">
              <w:rPr>
                <w:b/>
                <w:bCs/>
                <w:sz w:val="18"/>
                <w:szCs w:val="18"/>
              </w:rPr>
              <w:t>9</w:t>
            </w:r>
            <w:r w:rsidR="005D78D1">
              <w:rPr>
                <w:b/>
                <w:bCs/>
                <w:sz w:val="18"/>
                <w:szCs w:val="18"/>
              </w:rPr>
              <w:t>4.4</w:t>
            </w:r>
          </w:p>
        </w:tc>
        <w:tc>
          <w:tcPr>
            <w:tcW w:w="541" w:type="pct"/>
            <w:shd w:val="clear" w:color="auto" w:fill="FFFFFF" w:themeFill="background1"/>
            <w:noWrap/>
          </w:tcPr>
          <w:p w14:paraId="46651DEE" w14:textId="3AFF6018" w:rsidR="00AD58CA" w:rsidRPr="001030FC" w:rsidRDefault="00AD58CA" w:rsidP="00AD58CA">
            <w:pPr>
              <w:keepLines w:val="0"/>
              <w:spacing w:after="0" w:line="240" w:lineRule="auto"/>
              <w:jc w:val="right"/>
              <w:rPr>
                <w:b/>
                <w:bCs/>
                <w:sz w:val="18"/>
                <w:szCs w:val="18"/>
              </w:rPr>
            </w:pPr>
            <w:r w:rsidRPr="007E0530">
              <w:rPr>
                <w:b/>
                <w:bCs/>
                <w:sz w:val="18"/>
                <w:szCs w:val="18"/>
              </w:rPr>
              <w:t>9</w:t>
            </w:r>
            <w:r>
              <w:rPr>
                <w:b/>
                <w:bCs/>
                <w:sz w:val="18"/>
                <w:szCs w:val="18"/>
              </w:rPr>
              <w:t>9</w:t>
            </w:r>
            <w:r w:rsidRPr="007E0530">
              <w:rPr>
                <w:b/>
                <w:bCs/>
                <w:sz w:val="18"/>
                <w:szCs w:val="18"/>
              </w:rPr>
              <w:t>.</w:t>
            </w:r>
            <w:r w:rsidR="005D78D1">
              <w:rPr>
                <w:b/>
                <w:bCs/>
                <w:sz w:val="18"/>
                <w:szCs w:val="18"/>
              </w:rPr>
              <w:t>5</w:t>
            </w:r>
            <w:r w:rsidRPr="007E0530">
              <w:rPr>
                <w:b/>
                <w:bCs/>
                <w:sz w:val="18"/>
                <w:szCs w:val="18"/>
              </w:rPr>
              <w:t>%</w:t>
            </w:r>
          </w:p>
        </w:tc>
      </w:tr>
      <w:tr w:rsidR="00AD58CA" w:rsidRPr="00CD11DE" w14:paraId="1B195E16" w14:textId="77777777" w:rsidTr="006F3279">
        <w:trPr>
          <w:trHeight w:val="283"/>
        </w:trPr>
        <w:tc>
          <w:tcPr>
            <w:tcW w:w="1550" w:type="pct"/>
            <w:shd w:val="clear" w:color="auto" w:fill="06B1D6" w:themeFill="accent1"/>
            <w:vAlign w:val="center"/>
            <w:hideMark/>
          </w:tcPr>
          <w:p w14:paraId="3E56920F" w14:textId="65B02DCE" w:rsidR="00AD58CA" w:rsidRPr="00CD11DE" w:rsidRDefault="00AD58CA" w:rsidP="00AD58C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Commitment to finance</w:t>
            </w:r>
            <w:r w:rsidRPr="00C62D72">
              <w:rPr>
                <w:rFonts w:eastAsia="Times New Roman"/>
                <w:b/>
                <w:bCs/>
                <w:color w:val="FFFFFF" w:themeColor="background1"/>
                <w:sz w:val="18"/>
                <w:szCs w:val="18"/>
              </w:rPr>
              <w:fldChar w:fldCharType="begin"/>
            </w:r>
            <w:r w:rsidRPr="00C62D72">
              <w:rPr>
                <w:rFonts w:eastAsia="Times New Roman"/>
                <w:b/>
                <w:bCs/>
                <w:color w:val="FFFFFF" w:themeColor="background1"/>
                <w:sz w:val="18"/>
                <w:szCs w:val="18"/>
              </w:rPr>
              <w:instrText xml:space="preserve"> NOTEREF _Ref169704779 \f \h </w:instrText>
            </w:r>
            <w:r>
              <w:rPr>
                <w:rFonts w:eastAsia="Times New Roman"/>
                <w:b/>
                <w:bCs/>
                <w:color w:val="FFFFFF" w:themeColor="background1"/>
                <w:sz w:val="18"/>
                <w:szCs w:val="18"/>
              </w:rPr>
              <w:instrText xml:space="preserve"> \* MERGEFORMAT </w:instrText>
            </w:r>
            <w:r w:rsidRPr="00C62D72">
              <w:rPr>
                <w:rFonts w:eastAsia="Times New Roman"/>
                <w:b/>
                <w:bCs/>
                <w:color w:val="FFFFFF" w:themeColor="background1"/>
                <w:sz w:val="18"/>
                <w:szCs w:val="18"/>
              </w:rPr>
            </w:r>
            <w:r w:rsidRPr="00C62D72">
              <w:rPr>
                <w:rFonts w:eastAsia="Times New Roman"/>
                <w:b/>
                <w:bCs/>
                <w:color w:val="FFFFFF" w:themeColor="background1"/>
                <w:sz w:val="18"/>
                <w:szCs w:val="18"/>
              </w:rPr>
              <w:fldChar w:fldCharType="separate"/>
            </w:r>
            <w:r w:rsidRPr="00C62D72">
              <w:rPr>
                <w:rStyle w:val="FootnoteReference"/>
                <w:color w:val="FFFFFF" w:themeColor="background1"/>
              </w:rPr>
              <w:t>3</w:t>
            </w:r>
            <w:r w:rsidRPr="00C62D72">
              <w:rPr>
                <w:rFonts w:eastAsia="Times New Roman"/>
                <w:b/>
                <w:bCs/>
                <w:color w:val="FFFFFF" w:themeColor="background1"/>
                <w:sz w:val="18"/>
                <w:szCs w:val="18"/>
              </w:rPr>
              <w:fldChar w:fldCharType="end"/>
            </w:r>
          </w:p>
        </w:tc>
        <w:tc>
          <w:tcPr>
            <w:tcW w:w="568" w:type="pct"/>
            <w:shd w:val="clear" w:color="auto" w:fill="FFFFFF" w:themeFill="background1"/>
            <w:noWrap/>
          </w:tcPr>
          <w:p w14:paraId="1A2E1D26" w14:textId="042B81CC" w:rsidR="00AD58CA" w:rsidRPr="001030FC" w:rsidRDefault="00AD58CA" w:rsidP="00AD58CA">
            <w:pPr>
              <w:keepLines w:val="0"/>
              <w:spacing w:after="0" w:line="240" w:lineRule="auto"/>
              <w:jc w:val="right"/>
              <w:rPr>
                <w:sz w:val="18"/>
                <w:szCs w:val="18"/>
              </w:rPr>
            </w:pPr>
            <w:r>
              <w:rPr>
                <w:sz w:val="18"/>
                <w:szCs w:val="18"/>
              </w:rPr>
              <w:t>-</w:t>
            </w:r>
          </w:p>
        </w:tc>
        <w:tc>
          <w:tcPr>
            <w:tcW w:w="630" w:type="pct"/>
            <w:shd w:val="clear" w:color="auto" w:fill="FFFFFF" w:themeFill="background1"/>
          </w:tcPr>
          <w:p w14:paraId="7620EA28" w14:textId="72163F86" w:rsidR="00AD58CA" w:rsidRPr="001030FC" w:rsidRDefault="00AD58CA" w:rsidP="00AD58CA">
            <w:pPr>
              <w:keepLines w:val="0"/>
              <w:spacing w:after="0" w:line="240" w:lineRule="auto"/>
              <w:jc w:val="right"/>
              <w:rPr>
                <w:sz w:val="18"/>
                <w:szCs w:val="18"/>
              </w:rPr>
            </w:pPr>
            <w:r w:rsidRPr="007E0530">
              <w:rPr>
                <w:sz w:val="18"/>
                <w:szCs w:val="18"/>
              </w:rPr>
              <w:t>11.1</w:t>
            </w:r>
          </w:p>
        </w:tc>
        <w:tc>
          <w:tcPr>
            <w:tcW w:w="626" w:type="pct"/>
            <w:shd w:val="clear" w:color="auto" w:fill="FFFFFF" w:themeFill="background1"/>
            <w:noWrap/>
          </w:tcPr>
          <w:p w14:paraId="67C3F8F0" w14:textId="5A8FEA78" w:rsidR="00AD58CA" w:rsidRPr="001030FC" w:rsidRDefault="00AD58CA" w:rsidP="00AD58CA">
            <w:pPr>
              <w:keepLines w:val="0"/>
              <w:spacing w:after="0" w:line="240" w:lineRule="auto"/>
              <w:jc w:val="right"/>
              <w:rPr>
                <w:sz w:val="18"/>
                <w:szCs w:val="18"/>
              </w:rPr>
            </w:pPr>
            <w:r w:rsidRPr="007E0530">
              <w:rPr>
                <w:sz w:val="18"/>
                <w:szCs w:val="18"/>
              </w:rPr>
              <w:t>12.3</w:t>
            </w:r>
          </w:p>
        </w:tc>
        <w:tc>
          <w:tcPr>
            <w:tcW w:w="549" w:type="pct"/>
            <w:shd w:val="clear" w:color="auto" w:fill="FFFFFF" w:themeFill="background1"/>
            <w:noWrap/>
          </w:tcPr>
          <w:p w14:paraId="64320B7E" w14:textId="7B41FCE3" w:rsidR="00AD58CA" w:rsidRPr="001030FC" w:rsidRDefault="00AD58CA" w:rsidP="00AD58CA">
            <w:pPr>
              <w:keepLines w:val="0"/>
              <w:spacing w:after="0" w:line="240" w:lineRule="auto"/>
              <w:jc w:val="right"/>
              <w:rPr>
                <w:sz w:val="18"/>
                <w:szCs w:val="18"/>
              </w:rPr>
            </w:pPr>
            <w:r>
              <w:rPr>
                <w:sz w:val="18"/>
                <w:szCs w:val="18"/>
              </w:rPr>
              <w:t>3.9</w:t>
            </w:r>
          </w:p>
        </w:tc>
        <w:tc>
          <w:tcPr>
            <w:tcW w:w="536" w:type="pct"/>
            <w:shd w:val="clear" w:color="auto" w:fill="FFFFFF" w:themeFill="background1"/>
            <w:noWrap/>
          </w:tcPr>
          <w:p w14:paraId="6EEFC7B9" w14:textId="7763053A" w:rsidR="00AD58CA" w:rsidRPr="001030FC" w:rsidRDefault="00AD58CA" w:rsidP="00AD58CA">
            <w:pPr>
              <w:keepLines w:val="0"/>
              <w:spacing w:after="0" w:line="240" w:lineRule="auto"/>
              <w:jc w:val="right"/>
              <w:rPr>
                <w:sz w:val="18"/>
                <w:szCs w:val="18"/>
              </w:rPr>
            </w:pPr>
            <w:r>
              <w:rPr>
                <w:sz w:val="18"/>
                <w:szCs w:val="18"/>
              </w:rPr>
              <w:t>0</w:t>
            </w:r>
            <w:r w:rsidRPr="007E0530">
              <w:rPr>
                <w:sz w:val="18"/>
                <w:szCs w:val="18"/>
              </w:rPr>
              <w:t>.3</w:t>
            </w:r>
          </w:p>
        </w:tc>
        <w:tc>
          <w:tcPr>
            <w:tcW w:w="541" w:type="pct"/>
            <w:shd w:val="clear" w:color="auto" w:fill="FFFFFF" w:themeFill="background1"/>
            <w:noWrap/>
          </w:tcPr>
          <w:p w14:paraId="7FCDF412" w14:textId="3C77EB8F" w:rsidR="00AD58CA" w:rsidRPr="001030FC" w:rsidRDefault="00AD58CA" w:rsidP="00AD58CA">
            <w:pPr>
              <w:keepLines w:val="0"/>
              <w:spacing w:after="0" w:line="240" w:lineRule="auto"/>
              <w:jc w:val="right"/>
              <w:rPr>
                <w:sz w:val="18"/>
                <w:szCs w:val="18"/>
              </w:rPr>
            </w:pPr>
            <w:r>
              <w:rPr>
                <w:sz w:val="18"/>
                <w:szCs w:val="18"/>
              </w:rPr>
              <w:t>0.3</w:t>
            </w:r>
            <w:r w:rsidRPr="007E0530">
              <w:rPr>
                <w:sz w:val="18"/>
                <w:szCs w:val="18"/>
              </w:rPr>
              <w:t>%</w:t>
            </w:r>
          </w:p>
        </w:tc>
      </w:tr>
      <w:tr w:rsidR="00AD58CA" w:rsidRPr="00CD11DE" w14:paraId="297929E6" w14:textId="77777777" w:rsidTr="006F3279">
        <w:trPr>
          <w:trHeight w:val="283"/>
        </w:trPr>
        <w:tc>
          <w:tcPr>
            <w:tcW w:w="1550" w:type="pct"/>
            <w:shd w:val="clear" w:color="auto" w:fill="06B1D6" w:themeFill="accent1"/>
            <w:vAlign w:val="center"/>
          </w:tcPr>
          <w:p w14:paraId="373B3C19" w14:textId="77777777" w:rsidR="00AD58CA" w:rsidRPr="00CD11DE" w:rsidRDefault="00AD58CA" w:rsidP="00AD58C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568" w:type="pct"/>
            <w:shd w:val="clear" w:color="auto" w:fill="FFFFFF" w:themeFill="background1"/>
            <w:noWrap/>
          </w:tcPr>
          <w:p w14:paraId="767D5735" w14:textId="1A339D31" w:rsidR="00AD58CA" w:rsidRPr="001030FC" w:rsidRDefault="00AD58CA" w:rsidP="00AD58CA">
            <w:pPr>
              <w:keepLines w:val="0"/>
              <w:spacing w:after="0" w:line="240" w:lineRule="auto"/>
              <w:jc w:val="right"/>
              <w:rPr>
                <w:sz w:val="18"/>
                <w:szCs w:val="18"/>
              </w:rPr>
            </w:pPr>
            <w:r>
              <w:rPr>
                <w:sz w:val="18"/>
                <w:szCs w:val="18"/>
              </w:rPr>
              <w:t>-</w:t>
            </w:r>
          </w:p>
        </w:tc>
        <w:tc>
          <w:tcPr>
            <w:tcW w:w="630" w:type="pct"/>
            <w:shd w:val="clear" w:color="auto" w:fill="FFFFFF" w:themeFill="background1"/>
          </w:tcPr>
          <w:p w14:paraId="41877B13" w14:textId="5F94A7E9" w:rsidR="00AD58CA" w:rsidRPr="001030FC" w:rsidRDefault="00AD58CA" w:rsidP="00AD58CA">
            <w:pPr>
              <w:keepLines w:val="0"/>
              <w:spacing w:after="0" w:line="240" w:lineRule="auto"/>
              <w:jc w:val="right"/>
              <w:rPr>
                <w:sz w:val="18"/>
                <w:szCs w:val="18"/>
              </w:rPr>
            </w:pPr>
            <w:r w:rsidRPr="007E0530">
              <w:rPr>
                <w:sz w:val="18"/>
                <w:szCs w:val="18"/>
              </w:rPr>
              <w:t>6.2</w:t>
            </w:r>
          </w:p>
        </w:tc>
        <w:tc>
          <w:tcPr>
            <w:tcW w:w="626" w:type="pct"/>
            <w:shd w:val="clear" w:color="auto" w:fill="FFFFFF" w:themeFill="background1"/>
            <w:noWrap/>
          </w:tcPr>
          <w:p w14:paraId="05895442" w14:textId="64FA831D" w:rsidR="00AD58CA" w:rsidRPr="001030FC" w:rsidRDefault="00AD58CA" w:rsidP="00AD58CA">
            <w:pPr>
              <w:keepLines w:val="0"/>
              <w:spacing w:after="0" w:line="240" w:lineRule="auto"/>
              <w:jc w:val="right"/>
              <w:rPr>
                <w:sz w:val="18"/>
                <w:szCs w:val="18"/>
              </w:rPr>
            </w:pPr>
            <w:r w:rsidRPr="007E0530">
              <w:rPr>
                <w:sz w:val="18"/>
                <w:szCs w:val="18"/>
              </w:rPr>
              <w:t>11.5</w:t>
            </w:r>
          </w:p>
        </w:tc>
        <w:tc>
          <w:tcPr>
            <w:tcW w:w="549" w:type="pct"/>
            <w:shd w:val="clear" w:color="auto" w:fill="FFFFFF" w:themeFill="background1"/>
            <w:noWrap/>
          </w:tcPr>
          <w:p w14:paraId="00721EFA" w14:textId="7984D7D5" w:rsidR="00AD58CA" w:rsidRPr="001030FC" w:rsidRDefault="00AD58CA" w:rsidP="00AD58CA">
            <w:pPr>
              <w:keepLines w:val="0"/>
              <w:spacing w:after="0" w:line="240" w:lineRule="auto"/>
              <w:jc w:val="right"/>
              <w:rPr>
                <w:sz w:val="18"/>
                <w:szCs w:val="18"/>
              </w:rPr>
            </w:pPr>
            <w:r w:rsidRPr="007E0530">
              <w:rPr>
                <w:sz w:val="18"/>
                <w:szCs w:val="18"/>
              </w:rPr>
              <w:t>3.1</w:t>
            </w:r>
          </w:p>
        </w:tc>
        <w:tc>
          <w:tcPr>
            <w:tcW w:w="536" w:type="pct"/>
            <w:shd w:val="clear" w:color="auto" w:fill="FFFFFF" w:themeFill="background1"/>
            <w:noWrap/>
          </w:tcPr>
          <w:p w14:paraId="351B1CBC" w14:textId="78590095" w:rsidR="00AD58CA" w:rsidRPr="001030FC" w:rsidRDefault="00AD58CA" w:rsidP="00AD58CA">
            <w:pPr>
              <w:keepLines w:val="0"/>
              <w:spacing w:after="0" w:line="240" w:lineRule="auto"/>
              <w:jc w:val="right"/>
              <w:rPr>
                <w:sz w:val="18"/>
                <w:szCs w:val="18"/>
              </w:rPr>
            </w:pPr>
            <w:r w:rsidRPr="007E0530">
              <w:rPr>
                <w:sz w:val="18"/>
                <w:szCs w:val="18"/>
              </w:rPr>
              <w:t>0.2</w:t>
            </w:r>
          </w:p>
        </w:tc>
        <w:tc>
          <w:tcPr>
            <w:tcW w:w="541" w:type="pct"/>
            <w:shd w:val="clear" w:color="auto" w:fill="FFFFFF" w:themeFill="background1"/>
            <w:noWrap/>
          </w:tcPr>
          <w:p w14:paraId="6C2A2FD0" w14:textId="69C3818D" w:rsidR="00AD58CA" w:rsidRPr="001030FC" w:rsidRDefault="00AD58CA" w:rsidP="00AD58CA">
            <w:pPr>
              <w:keepLines w:val="0"/>
              <w:spacing w:after="0" w:line="240" w:lineRule="auto"/>
              <w:jc w:val="right"/>
              <w:rPr>
                <w:sz w:val="18"/>
                <w:szCs w:val="18"/>
              </w:rPr>
            </w:pPr>
            <w:r w:rsidRPr="007E0530">
              <w:rPr>
                <w:sz w:val="18"/>
                <w:szCs w:val="18"/>
              </w:rPr>
              <w:t>0.</w:t>
            </w:r>
            <w:r w:rsidR="005D78D1">
              <w:rPr>
                <w:sz w:val="18"/>
                <w:szCs w:val="18"/>
              </w:rPr>
              <w:t>2</w:t>
            </w:r>
            <w:r w:rsidRPr="007E0530">
              <w:rPr>
                <w:sz w:val="18"/>
                <w:szCs w:val="18"/>
              </w:rPr>
              <w:t>%</w:t>
            </w:r>
          </w:p>
        </w:tc>
      </w:tr>
      <w:tr w:rsidR="00AD58CA" w:rsidRPr="00CD11DE" w14:paraId="7C3297C5" w14:textId="77777777" w:rsidTr="006F3279">
        <w:trPr>
          <w:trHeight w:val="283"/>
        </w:trPr>
        <w:tc>
          <w:tcPr>
            <w:tcW w:w="1550" w:type="pct"/>
            <w:shd w:val="clear" w:color="auto" w:fill="06B1D6" w:themeFill="accent1"/>
            <w:vAlign w:val="center"/>
            <w:hideMark/>
          </w:tcPr>
          <w:p w14:paraId="28492B02" w14:textId="77777777" w:rsidR="00AD58CA" w:rsidRPr="00CD11DE" w:rsidRDefault="00AD58CA" w:rsidP="00AD58C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568" w:type="pct"/>
            <w:shd w:val="clear" w:color="auto" w:fill="FFFFFF" w:themeFill="background1"/>
            <w:noWrap/>
          </w:tcPr>
          <w:p w14:paraId="1A03A606" w14:textId="27180DEB" w:rsidR="00AD58CA" w:rsidRPr="001030FC" w:rsidRDefault="00AD58CA" w:rsidP="00AD58CA">
            <w:pPr>
              <w:keepLines w:val="0"/>
              <w:spacing w:after="0" w:line="240" w:lineRule="auto"/>
              <w:jc w:val="right"/>
              <w:rPr>
                <w:b/>
                <w:bCs/>
                <w:sz w:val="18"/>
                <w:szCs w:val="18"/>
              </w:rPr>
            </w:pPr>
            <w:r w:rsidRPr="007E0530">
              <w:rPr>
                <w:b/>
                <w:bCs/>
                <w:sz w:val="18"/>
                <w:szCs w:val="18"/>
              </w:rPr>
              <w:t>2,8</w:t>
            </w:r>
            <w:r>
              <w:rPr>
                <w:b/>
                <w:bCs/>
                <w:sz w:val="18"/>
                <w:szCs w:val="18"/>
              </w:rPr>
              <w:t>35.7</w:t>
            </w:r>
          </w:p>
        </w:tc>
        <w:tc>
          <w:tcPr>
            <w:tcW w:w="630" w:type="pct"/>
            <w:shd w:val="clear" w:color="auto" w:fill="FFFFFF" w:themeFill="background1"/>
          </w:tcPr>
          <w:p w14:paraId="1904F3CC" w14:textId="285AABD8" w:rsidR="00AD58CA" w:rsidRPr="001030FC" w:rsidRDefault="00AD58CA" w:rsidP="00AD58CA">
            <w:pPr>
              <w:keepLines w:val="0"/>
              <w:spacing w:after="0" w:line="240" w:lineRule="auto"/>
              <w:jc w:val="right"/>
              <w:rPr>
                <w:b/>
                <w:bCs/>
                <w:sz w:val="18"/>
                <w:szCs w:val="18"/>
              </w:rPr>
            </w:pPr>
            <w:r w:rsidRPr="007E0530">
              <w:rPr>
                <w:b/>
                <w:bCs/>
                <w:sz w:val="18"/>
                <w:szCs w:val="18"/>
              </w:rPr>
              <w:t>2,8</w:t>
            </w:r>
            <w:r w:rsidR="005D78D1">
              <w:rPr>
                <w:b/>
                <w:bCs/>
                <w:sz w:val="18"/>
                <w:szCs w:val="18"/>
              </w:rPr>
              <w:t>48.</w:t>
            </w:r>
            <w:r w:rsidR="00133B97">
              <w:rPr>
                <w:b/>
                <w:bCs/>
                <w:sz w:val="18"/>
                <w:szCs w:val="18"/>
              </w:rPr>
              <w:t>0</w:t>
            </w:r>
          </w:p>
        </w:tc>
        <w:tc>
          <w:tcPr>
            <w:tcW w:w="626" w:type="pct"/>
            <w:shd w:val="clear" w:color="auto" w:fill="FFFFFF" w:themeFill="background1"/>
            <w:noWrap/>
          </w:tcPr>
          <w:p w14:paraId="6E0994C0" w14:textId="397F3D62" w:rsidR="00AD58CA" w:rsidRPr="001030FC" w:rsidRDefault="00AD58CA" w:rsidP="00AD58CA">
            <w:pPr>
              <w:keepLines w:val="0"/>
              <w:spacing w:after="0" w:line="240" w:lineRule="auto"/>
              <w:jc w:val="right"/>
              <w:rPr>
                <w:b/>
                <w:bCs/>
                <w:sz w:val="18"/>
                <w:szCs w:val="18"/>
              </w:rPr>
            </w:pPr>
            <w:r w:rsidRPr="007E0530">
              <w:rPr>
                <w:b/>
                <w:bCs/>
                <w:sz w:val="18"/>
                <w:szCs w:val="18"/>
              </w:rPr>
              <w:t>2,667.0</w:t>
            </w:r>
          </w:p>
        </w:tc>
        <w:tc>
          <w:tcPr>
            <w:tcW w:w="549" w:type="pct"/>
            <w:shd w:val="clear" w:color="auto" w:fill="FFFFFF" w:themeFill="background1"/>
            <w:noWrap/>
          </w:tcPr>
          <w:p w14:paraId="009C7A12" w14:textId="26D841FD" w:rsidR="00AD58CA" w:rsidRPr="001030FC" w:rsidRDefault="00AD58CA" w:rsidP="005D78D1">
            <w:pPr>
              <w:keepLines w:val="0"/>
              <w:spacing w:after="0" w:line="240" w:lineRule="auto"/>
              <w:jc w:val="right"/>
              <w:rPr>
                <w:b/>
                <w:bCs/>
                <w:sz w:val="18"/>
                <w:szCs w:val="18"/>
              </w:rPr>
            </w:pPr>
            <w:r w:rsidRPr="007E0530">
              <w:rPr>
                <w:b/>
                <w:bCs/>
                <w:sz w:val="18"/>
                <w:szCs w:val="18"/>
              </w:rPr>
              <w:t>1,1</w:t>
            </w:r>
            <w:r w:rsidR="005D78D1">
              <w:rPr>
                <w:b/>
                <w:bCs/>
                <w:sz w:val="18"/>
                <w:szCs w:val="18"/>
              </w:rPr>
              <w:t>87</w:t>
            </w:r>
            <w:r>
              <w:rPr>
                <w:b/>
                <w:bCs/>
                <w:sz w:val="18"/>
                <w:szCs w:val="18"/>
              </w:rPr>
              <w:t>.</w:t>
            </w:r>
            <w:r w:rsidR="005D78D1">
              <w:rPr>
                <w:b/>
                <w:bCs/>
                <w:sz w:val="18"/>
                <w:szCs w:val="18"/>
              </w:rPr>
              <w:t>2</w:t>
            </w:r>
          </w:p>
        </w:tc>
        <w:tc>
          <w:tcPr>
            <w:tcW w:w="536" w:type="pct"/>
            <w:shd w:val="clear" w:color="auto" w:fill="FFFFFF" w:themeFill="background1"/>
            <w:noWrap/>
          </w:tcPr>
          <w:p w14:paraId="0E03C2CF" w14:textId="28D95F84" w:rsidR="00AD58CA" w:rsidRPr="001030FC" w:rsidRDefault="005D78D1" w:rsidP="00AD58CA">
            <w:pPr>
              <w:keepLines w:val="0"/>
              <w:spacing w:after="0" w:line="240" w:lineRule="auto"/>
              <w:jc w:val="right"/>
              <w:rPr>
                <w:b/>
                <w:bCs/>
                <w:sz w:val="18"/>
                <w:szCs w:val="18"/>
              </w:rPr>
            </w:pPr>
            <w:r>
              <w:rPr>
                <w:b/>
                <w:bCs/>
                <w:sz w:val="18"/>
                <w:szCs w:val="18"/>
              </w:rPr>
              <w:t>95.0</w:t>
            </w:r>
          </w:p>
        </w:tc>
        <w:tc>
          <w:tcPr>
            <w:tcW w:w="541" w:type="pct"/>
            <w:shd w:val="clear" w:color="auto" w:fill="FFFFFF" w:themeFill="background1"/>
            <w:noWrap/>
          </w:tcPr>
          <w:p w14:paraId="41553081" w14:textId="36320985" w:rsidR="00AD58CA" w:rsidRPr="001030FC" w:rsidRDefault="00AD58CA" w:rsidP="00AD58CA">
            <w:pPr>
              <w:keepLines w:val="0"/>
              <w:spacing w:after="0" w:line="240" w:lineRule="auto"/>
              <w:jc w:val="right"/>
              <w:rPr>
                <w:b/>
                <w:bCs/>
                <w:sz w:val="18"/>
                <w:szCs w:val="18"/>
              </w:rPr>
            </w:pPr>
            <w:r w:rsidRPr="007E0530">
              <w:rPr>
                <w:b/>
                <w:bCs/>
                <w:sz w:val="18"/>
                <w:szCs w:val="18"/>
              </w:rPr>
              <w:t>100%</w:t>
            </w:r>
          </w:p>
        </w:tc>
      </w:tr>
    </w:tbl>
    <w:p w14:paraId="574CC7B7" w14:textId="06B3BF10" w:rsidR="00F42DCF" w:rsidRPr="00CD11DE" w:rsidRDefault="00F42DCF"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8</w:t>
      </w:r>
      <w:r w:rsidRPr="00CD11DE">
        <w:fldChar w:fldCharType="end"/>
      </w:r>
      <w:r w:rsidRPr="00CD11DE">
        <w:t xml:space="preserve">: Pillar 1 capital requirements: credit risk: 31 December </w:t>
      </w:r>
      <w:r w:rsidR="0023087C">
        <w:t>2023</w:t>
      </w:r>
      <w:r w:rsidRPr="00CD11DE">
        <w:t xml:space="preserve"> (£m)</w:t>
      </w:r>
    </w:p>
    <w:tbl>
      <w:tblPr>
        <w:tblpPr w:leftFromText="180" w:rightFromText="180" w:vertAnchor="text" w:horzAnchor="margin" w:tblpY="8"/>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992"/>
        <w:gridCol w:w="1135"/>
        <w:gridCol w:w="1133"/>
        <w:gridCol w:w="992"/>
        <w:gridCol w:w="992"/>
        <w:gridCol w:w="992"/>
      </w:tblGrid>
      <w:tr w:rsidR="0026497E" w:rsidRPr="00CD11DE" w14:paraId="16C551E4" w14:textId="77777777" w:rsidTr="006F3279">
        <w:trPr>
          <w:trHeight w:val="858"/>
        </w:trPr>
        <w:tc>
          <w:tcPr>
            <w:tcW w:w="1561" w:type="pct"/>
            <w:shd w:val="clear" w:color="auto" w:fill="06B1D6" w:themeFill="accent1"/>
            <w:vAlign w:val="center"/>
            <w:hideMark/>
          </w:tcPr>
          <w:p w14:paraId="7C6E7AFC" w14:textId="4936C44C" w:rsidR="0000514A" w:rsidRPr="00CD11DE" w:rsidRDefault="005511F2" w:rsidP="00B61C14">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547" w:type="pct"/>
            <w:shd w:val="clear" w:color="auto" w:fill="06B1D6" w:themeFill="accent1"/>
            <w:vAlign w:val="center"/>
            <w:hideMark/>
          </w:tcPr>
          <w:p w14:paraId="357122F0"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IFRS Balance Sheet</w:t>
            </w:r>
          </w:p>
        </w:tc>
        <w:tc>
          <w:tcPr>
            <w:tcW w:w="626" w:type="pct"/>
            <w:shd w:val="clear" w:color="auto" w:fill="06B1D6" w:themeFill="accent1"/>
            <w:vAlign w:val="center"/>
          </w:tcPr>
          <w:p w14:paraId="505621BC"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Credit risk exposure</w:t>
            </w:r>
          </w:p>
        </w:tc>
        <w:tc>
          <w:tcPr>
            <w:tcW w:w="625" w:type="pct"/>
            <w:shd w:val="clear" w:color="auto" w:fill="06B1D6" w:themeFill="accent1"/>
            <w:vAlign w:val="center"/>
            <w:hideMark/>
          </w:tcPr>
          <w:p w14:paraId="13590D41"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Average credit risk exposure</w:t>
            </w:r>
          </w:p>
        </w:tc>
        <w:tc>
          <w:tcPr>
            <w:tcW w:w="547" w:type="pct"/>
            <w:shd w:val="clear" w:color="auto" w:fill="06B1D6" w:themeFill="accent1"/>
            <w:vAlign w:val="center"/>
            <w:hideMark/>
          </w:tcPr>
          <w:p w14:paraId="5A5E35ED"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Risk Weighted Assets</w:t>
            </w:r>
          </w:p>
        </w:tc>
        <w:tc>
          <w:tcPr>
            <w:tcW w:w="547" w:type="pct"/>
            <w:shd w:val="clear" w:color="auto" w:fill="06B1D6" w:themeFill="accent1"/>
            <w:vAlign w:val="center"/>
            <w:hideMark/>
          </w:tcPr>
          <w:p w14:paraId="6B47B197"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 xml:space="preserve">Minimum capital Require- </w:t>
            </w:r>
            <w:proofErr w:type="spellStart"/>
            <w:r w:rsidRPr="00CD11DE">
              <w:rPr>
                <w:rFonts w:eastAsia="Times New Roman"/>
                <w:b/>
                <w:bCs/>
                <w:color w:val="FFFFFF"/>
                <w:sz w:val="16"/>
                <w:szCs w:val="16"/>
              </w:rPr>
              <w:t>ments</w:t>
            </w:r>
            <w:proofErr w:type="spellEnd"/>
          </w:p>
        </w:tc>
        <w:tc>
          <w:tcPr>
            <w:tcW w:w="547" w:type="pct"/>
            <w:shd w:val="clear" w:color="auto" w:fill="06B1D6" w:themeFill="accent1"/>
            <w:vAlign w:val="center"/>
            <w:hideMark/>
          </w:tcPr>
          <w:p w14:paraId="3874EEA8" w14:textId="77777777" w:rsidR="0000514A" w:rsidRPr="00CD11DE" w:rsidRDefault="0000514A" w:rsidP="00B35480">
            <w:pPr>
              <w:keepLines w:val="0"/>
              <w:spacing w:after="0" w:line="240" w:lineRule="auto"/>
              <w:jc w:val="right"/>
              <w:rPr>
                <w:rFonts w:eastAsia="Times New Roman"/>
                <w:b/>
                <w:bCs/>
                <w:color w:val="FFFFFF"/>
                <w:sz w:val="16"/>
                <w:szCs w:val="16"/>
              </w:rPr>
            </w:pPr>
            <w:r w:rsidRPr="00CD11DE">
              <w:rPr>
                <w:rFonts w:eastAsia="Times New Roman"/>
                <w:b/>
                <w:bCs/>
                <w:color w:val="FFFFFF"/>
                <w:sz w:val="16"/>
                <w:szCs w:val="16"/>
              </w:rPr>
              <w:t>% of total RWA</w:t>
            </w:r>
          </w:p>
        </w:tc>
      </w:tr>
      <w:tr w:rsidR="0016685E" w:rsidRPr="00CD11DE" w14:paraId="7275F194" w14:textId="77777777" w:rsidTr="006F3279">
        <w:trPr>
          <w:trHeight w:val="283"/>
        </w:trPr>
        <w:tc>
          <w:tcPr>
            <w:tcW w:w="1561" w:type="pct"/>
            <w:shd w:val="clear" w:color="auto" w:fill="06B1D6" w:themeFill="accent1"/>
            <w:vAlign w:val="center"/>
            <w:hideMark/>
          </w:tcPr>
          <w:p w14:paraId="57CBB8A5"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w:t>
            </w:r>
          </w:p>
        </w:tc>
        <w:tc>
          <w:tcPr>
            <w:tcW w:w="547" w:type="pct"/>
            <w:shd w:val="clear" w:color="auto" w:fill="FFFFFF" w:themeFill="background1"/>
            <w:noWrap/>
            <w:vAlign w:val="center"/>
            <w:hideMark/>
          </w:tcPr>
          <w:p w14:paraId="3D77858E" w14:textId="38B581C2" w:rsidR="0016685E" w:rsidRPr="00CD11DE" w:rsidRDefault="0016685E" w:rsidP="0016685E">
            <w:pPr>
              <w:keepLines w:val="0"/>
              <w:spacing w:after="0" w:line="240" w:lineRule="auto"/>
              <w:jc w:val="right"/>
              <w:rPr>
                <w:rFonts w:eastAsia="Times New Roman"/>
                <w:sz w:val="18"/>
                <w:szCs w:val="18"/>
              </w:rPr>
            </w:pPr>
            <w:r w:rsidRPr="00CD11DE">
              <w:rPr>
                <w:sz w:val="18"/>
                <w:szCs w:val="18"/>
              </w:rPr>
              <w:t>401.6</w:t>
            </w:r>
          </w:p>
        </w:tc>
        <w:tc>
          <w:tcPr>
            <w:tcW w:w="626" w:type="pct"/>
            <w:shd w:val="clear" w:color="auto" w:fill="FFFFFF" w:themeFill="background1"/>
            <w:vAlign w:val="center"/>
          </w:tcPr>
          <w:p w14:paraId="2D4B7CD7" w14:textId="263FCB1E" w:rsidR="0016685E" w:rsidRPr="00CD11DE" w:rsidRDefault="0016685E" w:rsidP="0016685E">
            <w:pPr>
              <w:keepLines w:val="0"/>
              <w:spacing w:after="0" w:line="240" w:lineRule="auto"/>
              <w:jc w:val="right"/>
              <w:rPr>
                <w:rFonts w:eastAsia="Times New Roman"/>
                <w:sz w:val="18"/>
                <w:szCs w:val="18"/>
              </w:rPr>
            </w:pPr>
            <w:r w:rsidRPr="00CD11DE">
              <w:rPr>
                <w:sz w:val="18"/>
                <w:szCs w:val="18"/>
              </w:rPr>
              <w:t>401.6</w:t>
            </w:r>
          </w:p>
        </w:tc>
        <w:tc>
          <w:tcPr>
            <w:tcW w:w="625" w:type="pct"/>
            <w:shd w:val="clear" w:color="auto" w:fill="FFFFFF" w:themeFill="background1"/>
            <w:noWrap/>
            <w:vAlign w:val="center"/>
            <w:hideMark/>
          </w:tcPr>
          <w:p w14:paraId="44011F4B" w14:textId="785FF6FE" w:rsidR="0016685E" w:rsidRPr="00CD11DE" w:rsidRDefault="0016685E" w:rsidP="0016685E">
            <w:pPr>
              <w:keepLines w:val="0"/>
              <w:spacing w:after="0" w:line="240" w:lineRule="auto"/>
              <w:jc w:val="right"/>
              <w:rPr>
                <w:rFonts w:eastAsia="Times New Roman"/>
                <w:sz w:val="18"/>
                <w:szCs w:val="18"/>
              </w:rPr>
            </w:pPr>
            <w:r w:rsidRPr="00CD11DE">
              <w:rPr>
                <w:sz w:val="18"/>
                <w:szCs w:val="18"/>
              </w:rPr>
              <w:t>355.7</w:t>
            </w:r>
          </w:p>
        </w:tc>
        <w:tc>
          <w:tcPr>
            <w:tcW w:w="547" w:type="pct"/>
            <w:shd w:val="clear" w:color="auto" w:fill="FFFFFF" w:themeFill="background1"/>
            <w:noWrap/>
            <w:vAlign w:val="center"/>
            <w:hideMark/>
          </w:tcPr>
          <w:p w14:paraId="7A1A5C41" w14:textId="149357DA" w:rsidR="0016685E" w:rsidRPr="00CD11DE" w:rsidRDefault="0016685E" w:rsidP="0016685E">
            <w:pPr>
              <w:keepLines w:val="0"/>
              <w:spacing w:after="0" w:line="240" w:lineRule="auto"/>
              <w:jc w:val="right"/>
              <w:rPr>
                <w:rFonts w:eastAsia="Times New Roman"/>
                <w:sz w:val="18"/>
                <w:szCs w:val="18"/>
              </w:rPr>
            </w:pPr>
            <w:r w:rsidRPr="00CD11DE">
              <w:rPr>
                <w:sz w:val="18"/>
                <w:szCs w:val="18"/>
              </w:rPr>
              <w:t>94.7</w:t>
            </w:r>
          </w:p>
        </w:tc>
        <w:tc>
          <w:tcPr>
            <w:tcW w:w="547" w:type="pct"/>
            <w:shd w:val="clear" w:color="auto" w:fill="FFFFFF" w:themeFill="background1"/>
            <w:noWrap/>
            <w:vAlign w:val="center"/>
            <w:hideMark/>
          </w:tcPr>
          <w:p w14:paraId="60522BE9" w14:textId="739DF71F" w:rsidR="0016685E" w:rsidRPr="00CD11DE" w:rsidRDefault="0016685E" w:rsidP="0016685E">
            <w:pPr>
              <w:keepLines w:val="0"/>
              <w:spacing w:after="0" w:line="240" w:lineRule="auto"/>
              <w:jc w:val="right"/>
              <w:rPr>
                <w:rFonts w:eastAsia="Times New Roman"/>
                <w:sz w:val="18"/>
                <w:szCs w:val="18"/>
              </w:rPr>
            </w:pPr>
            <w:r w:rsidRPr="00CD11DE">
              <w:rPr>
                <w:sz w:val="18"/>
                <w:szCs w:val="18"/>
              </w:rPr>
              <w:t>7.6</w:t>
            </w:r>
          </w:p>
        </w:tc>
        <w:tc>
          <w:tcPr>
            <w:tcW w:w="547" w:type="pct"/>
            <w:shd w:val="clear" w:color="auto" w:fill="FFFFFF" w:themeFill="background1"/>
            <w:noWrap/>
            <w:vAlign w:val="center"/>
            <w:hideMark/>
          </w:tcPr>
          <w:p w14:paraId="4B6B850D" w14:textId="0E1E518F" w:rsidR="0016685E" w:rsidRPr="00CD11DE" w:rsidRDefault="0016685E" w:rsidP="0016685E">
            <w:pPr>
              <w:keepLines w:val="0"/>
              <w:spacing w:after="0" w:line="240" w:lineRule="auto"/>
              <w:jc w:val="right"/>
              <w:rPr>
                <w:rFonts w:eastAsia="Times New Roman"/>
                <w:sz w:val="18"/>
                <w:szCs w:val="18"/>
              </w:rPr>
            </w:pPr>
            <w:r w:rsidRPr="00CD11DE">
              <w:rPr>
                <w:sz w:val="18"/>
                <w:szCs w:val="18"/>
              </w:rPr>
              <w:t>9.9%</w:t>
            </w:r>
          </w:p>
        </w:tc>
      </w:tr>
      <w:tr w:rsidR="0016685E" w:rsidRPr="00CD11DE" w14:paraId="59488D4C" w14:textId="77777777" w:rsidTr="006F3279">
        <w:trPr>
          <w:trHeight w:val="283"/>
        </w:trPr>
        <w:tc>
          <w:tcPr>
            <w:tcW w:w="1561" w:type="pct"/>
            <w:shd w:val="clear" w:color="auto" w:fill="06B1D6" w:themeFill="accent1"/>
            <w:vAlign w:val="center"/>
            <w:hideMark/>
          </w:tcPr>
          <w:p w14:paraId="7655843F"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547" w:type="pct"/>
            <w:shd w:val="clear" w:color="auto" w:fill="FFFFFF" w:themeFill="background1"/>
            <w:noWrap/>
            <w:vAlign w:val="center"/>
            <w:hideMark/>
          </w:tcPr>
          <w:p w14:paraId="49BF67F0" w14:textId="3C2B80A4" w:rsidR="0016685E" w:rsidRPr="00CD11DE" w:rsidRDefault="0016685E" w:rsidP="0016685E">
            <w:pPr>
              <w:keepLines w:val="0"/>
              <w:spacing w:after="0" w:line="240" w:lineRule="auto"/>
              <w:jc w:val="right"/>
              <w:rPr>
                <w:rFonts w:eastAsia="Times New Roman"/>
                <w:sz w:val="18"/>
                <w:szCs w:val="18"/>
              </w:rPr>
            </w:pPr>
            <w:r w:rsidRPr="00CD11DE">
              <w:rPr>
                <w:sz w:val="18"/>
                <w:szCs w:val="18"/>
              </w:rPr>
              <w:t>148.7</w:t>
            </w:r>
          </w:p>
        </w:tc>
        <w:tc>
          <w:tcPr>
            <w:tcW w:w="626" w:type="pct"/>
            <w:shd w:val="clear" w:color="auto" w:fill="FFFFFF" w:themeFill="background1"/>
            <w:vAlign w:val="center"/>
          </w:tcPr>
          <w:p w14:paraId="4F033030" w14:textId="6BF2D510" w:rsidR="0016685E" w:rsidRPr="00CD11DE" w:rsidRDefault="0016685E" w:rsidP="0016685E">
            <w:pPr>
              <w:keepLines w:val="0"/>
              <w:spacing w:after="0" w:line="240" w:lineRule="auto"/>
              <w:jc w:val="right"/>
              <w:rPr>
                <w:rFonts w:eastAsia="Times New Roman"/>
                <w:sz w:val="18"/>
                <w:szCs w:val="18"/>
              </w:rPr>
            </w:pPr>
            <w:r w:rsidRPr="00CD11DE">
              <w:rPr>
                <w:sz w:val="18"/>
                <w:szCs w:val="18"/>
              </w:rPr>
              <w:t>148.7</w:t>
            </w:r>
          </w:p>
        </w:tc>
        <w:tc>
          <w:tcPr>
            <w:tcW w:w="625" w:type="pct"/>
            <w:shd w:val="clear" w:color="auto" w:fill="FFFFFF" w:themeFill="background1"/>
            <w:noWrap/>
            <w:vAlign w:val="center"/>
            <w:hideMark/>
          </w:tcPr>
          <w:p w14:paraId="485C7EA6" w14:textId="5DE4BD93" w:rsidR="0016685E" w:rsidRPr="00CD11DE" w:rsidRDefault="0016685E" w:rsidP="0016685E">
            <w:pPr>
              <w:keepLines w:val="0"/>
              <w:spacing w:after="0" w:line="240" w:lineRule="auto"/>
              <w:jc w:val="right"/>
              <w:rPr>
                <w:rFonts w:eastAsia="Times New Roman"/>
                <w:sz w:val="18"/>
                <w:szCs w:val="18"/>
              </w:rPr>
            </w:pPr>
            <w:r w:rsidRPr="00CD11DE">
              <w:rPr>
                <w:sz w:val="18"/>
                <w:szCs w:val="18"/>
              </w:rPr>
              <w:t>142.4</w:t>
            </w:r>
          </w:p>
        </w:tc>
        <w:tc>
          <w:tcPr>
            <w:tcW w:w="547" w:type="pct"/>
            <w:shd w:val="clear" w:color="auto" w:fill="FFFFFF" w:themeFill="background1"/>
            <w:noWrap/>
            <w:vAlign w:val="center"/>
            <w:hideMark/>
          </w:tcPr>
          <w:p w14:paraId="1F737EA6" w14:textId="2B49867F" w:rsidR="0016685E" w:rsidRPr="00CD11DE" w:rsidRDefault="0016685E" w:rsidP="0016685E">
            <w:pPr>
              <w:keepLines w:val="0"/>
              <w:spacing w:after="0" w:line="240" w:lineRule="auto"/>
              <w:jc w:val="right"/>
              <w:rPr>
                <w:rFonts w:eastAsia="Times New Roman"/>
                <w:sz w:val="18"/>
                <w:szCs w:val="18"/>
              </w:rPr>
            </w:pPr>
            <w:r w:rsidRPr="00CD11DE">
              <w:rPr>
                <w:sz w:val="18"/>
                <w:szCs w:val="18"/>
              </w:rPr>
              <w:t>18.8</w:t>
            </w:r>
          </w:p>
        </w:tc>
        <w:tc>
          <w:tcPr>
            <w:tcW w:w="547" w:type="pct"/>
            <w:shd w:val="clear" w:color="auto" w:fill="FFFFFF" w:themeFill="background1"/>
            <w:noWrap/>
            <w:vAlign w:val="center"/>
            <w:hideMark/>
          </w:tcPr>
          <w:p w14:paraId="2CCE5FB4" w14:textId="3EB984A9" w:rsidR="0016685E" w:rsidRPr="00CD11DE" w:rsidRDefault="0016685E" w:rsidP="0016685E">
            <w:pPr>
              <w:keepLines w:val="0"/>
              <w:spacing w:after="0" w:line="240" w:lineRule="auto"/>
              <w:jc w:val="right"/>
              <w:rPr>
                <w:rFonts w:eastAsia="Times New Roman"/>
                <w:sz w:val="18"/>
                <w:szCs w:val="18"/>
              </w:rPr>
            </w:pPr>
            <w:r w:rsidRPr="00CD11DE">
              <w:rPr>
                <w:sz w:val="18"/>
                <w:szCs w:val="18"/>
              </w:rPr>
              <w:t>1.5</w:t>
            </w:r>
          </w:p>
        </w:tc>
        <w:tc>
          <w:tcPr>
            <w:tcW w:w="547" w:type="pct"/>
            <w:shd w:val="clear" w:color="auto" w:fill="FFFFFF" w:themeFill="background1"/>
            <w:noWrap/>
            <w:vAlign w:val="center"/>
            <w:hideMark/>
          </w:tcPr>
          <w:p w14:paraId="043A351E" w14:textId="6E232F05" w:rsidR="0016685E" w:rsidRPr="00CD11DE" w:rsidRDefault="0016685E" w:rsidP="0016685E">
            <w:pPr>
              <w:keepLines w:val="0"/>
              <w:spacing w:after="0" w:line="240" w:lineRule="auto"/>
              <w:jc w:val="right"/>
              <w:rPr>
                <w:rFonts w:eastAsia="Times New Roman"/>
                <w:sz w:val="18"/>
                <w:szCs w:val="18"/>
              </w:rPr>
            </w:pPr>
            <w:r w:rsidRPr="00CD11DE">
              <w:rPr>
                <w:sz w:val="18"/>
                <w:szCs w:val="18"/>
              </w:rPr>
              <w:t>2.0%</w:t>
            </w:r>
          </w:p>
        </w:tc>
      </w:tr>
      <w:tr w:rsidR="0016685E" w:rsidRPr="00CD11DE" w14:paraId="6725F5C4" w14:textId="77777777" w:rsidTr="006F3279">
        <w:trPr>
          <w:trHeight w:val="343"/>
        </w:trPr>
        <w:tc>
          <w:tcPr>
            <w:tcW w:w="1561" w:type="pct"/>
            <w:shd w:val="clear" w:color="auto" w:fill="06B1D6" w:themeFill="accent1"/>
            <w:vAlign w:val="center"/>
            <w:hideMark/>
          </w:tcPr>
          <w:p w14:paraId="50BDFC86"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547" w:type="pct"/>
            <w:shd w:val="clear" w:color="auto" w:fill="FFFFFF" w:themeFill="background1"/>
            <w:noWrap/>
            <w:vAlign w:val="center"/>
            <w:hideMark/>
          </w:tcPr>
          <w:p w14:paraId="238D8922" w14:textId="56CFB4AC" w:rsidR="0016685E" w:rsidRPr="00CD11DE" w:rsidRDefault="0016685E" w:rsidP="0016685E">
            <w:pPr>
              <w:keepLines w:val="0"/>
              <w:spacing w:after="0" w:line="240" w:lineRule="auto"/>
              <w:jc w:val="right"/>
              <w:rPr>
                <w:rFonts w:eastAsia="Times New Roman"/>
                <w:sz w:val="18"/>
                <w:szCs w:val="18"/>
              </w:rPr>
            </w:pPr>
            <w:r w:rsidRPr="00CD11DE">
              <w:rPr>
                <w:sz w:val="18"/>
                <w:szCs w:val="18"/>
              </w:rPr>
              <w:t>993.1</w:t>
            </w:r>
          </w:p>
        </w:tc>
        <w:tc>
          <w:tcPr>
            <w:tcW w:w="626" w:type="pct"/>
            <w:shd w:val="clear" w:color="auto" w:fill="FFFFFF" w:themeFill="background1"/>
            <w:vAlign w:val="center"/>
          </w:tcPr>
          <w:p w14:paraId="07D298C6" w14:textId="79530D03" w:rsidR="0016685E" w:rsidRPr="00CD11DE" w:rsidRDefault="0016685E" w:rsidP="0016685E">
            <w:pPr>
              <w:keepLines w:val="0"/>
              <w:spacing w:after="0" w:line="240" w:lineRule="auto"/>
              <w:jc w:val="right"/>
              <w:rPr>
                <w:rFonts w:eastAsia="Times New Roman"/>
                <w:sz w:val="18"/>
                <w:szCs w:val="18"/>
              </w:rPr>
            </w:pPr>
            <w:r w:rsidRPr="00CD11DE">
              <w:rPr>
                <w:sz w:val="18"/>
                <w:szCs w:val="18"/>
              </w:rPr>
              <w:t>993.1</w:t>
            </w:r>
          </w:p>
        </w:tc>
        <w:tc>
          <w:tcPr>
            <w:tcW w:w="625" w:type="pct"/>
            <w:shd w:val="clear" w:color="auto" w:fill="FFFFFF" w:themeFill="background1"/>
            <w:noWrap/>
            <w:vAlign w:val="center"/>
            <w:hideMark/>
          </w:tcPr>
          <w:p w14:paraId="353B98FB" w14:textId="022726D4" w:rsidR="0016685E" w:rsidRPr="00CD11DE" w:rsidRDefault="0016685E" w:rsidP="0016685E">
            <w:pPr>
              <w:keepLines w:val="0"/>
              <w:spacing w:after="0" w:line="240" w:lineRule="auto"/>
              <w:jc w:val="right"/>
              <w:rPr>
                <w:rFonts w:eastAsia="Times New Roman"/>
                <w:sz w:val="18"/>
                <w:szCs w:val="18"/>
              </w:rPr>
            </w:pPr>
            <w:r w:rsidRPr="00CD11DE">
              <w:rPr>
                <w:sz w:val="18"/>
                <w:szCs w:val="18"/>
              </w:rPr>
              <w:t>1,041.3</w:t>
            </w:r>
          </w:p>
        </w:tc>
        <w:tc>
          <w:tcPr>
            <w:tcW w:w="547" w:type="pct"/>
            <w:shd w:val="clear" w:color="auto" w:fill="FFFFFF" w:themeFill="background1"/>
            <w:noWrap/>
            <w:vAlign w:val="center"/>
            <w:hideMark/>
          </w:tcPr>
          <w:p w14:paraId="4A689FBD" w14:textId="33093482" w:rsidR="0016685E" w:rsidRPr="00CD11DE" w:rsidRDefault="0016685E" w:rsidP="0016685E">
            <w:pPr>
              <w:keepLines w:val="0"/>
              <w:spacing w:after="0" w:line="240" w:lineRule="auto"/>
              <w:jc w:val="right"/>
              <w:rPr>
                <w:rFonts w:eastAsia="Times New Roman"/>
                <w:sz w:val="18"/>
                <w:szCs w:val="18"/>
              </w:rPr>
            </w:pPr>
            <w:r w:rsidRPr="00CD11DE">
              <w:rPr>
                <w:sz w:val="18"/>
                <w:szCs w:val="18"/>
              </w:rPr>
              <w:t>360.6</w:t>
            </w:r>
          </w:p>
        </w:tc>
        <w:tc>
          <w:tcPr>
            <w:tcW w:w="547" w:type="pct"/>
            <w:shd w:val="clear" w:color="auto" w:fill="FFFFFF" w:themeFill="background1"/>
            <w:noWrap/>
            <w:vAlign w:val="center"/>
            <w:hideMark/>
          </w:tcPr>
          <w:p w14:paraId="2AC4E53C" w14:textId="0330407D" w:rsidR="0016685E" w:rsidRPr="00CD11DE" w:rsidRDefault="0016685E" w:rsidP="0016685E">
            <w:pPr>
              <w:keepLines w:val="0"/>
              <w:spacing w:after="0" w:line="240" w:lineRule="auto"/>
              <w:jc w:val="right"/>
              <w:rPr>
                <w:rFonts w:eastAsia="Times New Roman"/>
                <w:sz w:val="18"/>
                <w:szCs w:val="18"/>
              </w:rPr>
            </w:pPr>
            <w:r w:rsidRPr="00CD11DE">
              <w:rPr>
                <w:sz w:val="18"/>
                <w:szCs w:val="18"/>
              </w:rPr>
              <w:t>28.8</w:t>
            </w:r>
          </w:p>
        </w:tc>
        <w:tc>
          <w:tcPr>
            <w:tcW w:w="547" w:type="pct"/>
            <w:shd w:val="clear" w:color="auto" w:fill="FFFFFF" w:themeFill="background1"/>
            <w:noWrap/>
            <w:vAlign w:val="center"/>
            <w:hideMark/>
          </w:tcPr>
          <w:p w14:paraId="5E9B04E3" w14:textId="6D26BD0B" w:rsidR="0016685E" w:rsidRPr="00CD11DE" w:rsidRDefault="0016685E" w:rsidP="0016685E">
            <w:pPr>
              <w:keepLines w:val="0"/>
              <w:spacing w:after="0" w:line="240" w:lineRule="auto"/>
              <w:jc w:val="right"/>
              <w:rPr>
                <w:rFonts w:eastAsia="Times New Roman"/>
                <w:sz w:val="18"/>
                <w:szCs w:val="18"/>
              </w:rPr>
            </w:pPr>
            <w:r w:rsidRPr="00CD11DE">
              <w:rPr>
                <w:sz w:val="18"/>
                <w:szCs w:val="18"/>
              </w:rPr>
              <w:t>37.8%</w:t>
            </w:r>
          </w:p>
        </w:tc>
      </w:tr>
      <w:tr w:rsidR="0016685E" w:rsidRPr="00CD11DE" w14:paraId="1DB40273" w14:textId="77777777" w:rsidTr="006F3279">
        <w:trPr>
          <w:trHeight w:val="276"/>
        </w:trPr>
        <w:tc>
          <w:tcPr>
            <w:tcW w:w="1561" w:type="pct"/>
            <w:shd w:val="clear" w:color="auto" w:fill="06B1D6" w:themeFill="accent1"/>
            <w:vAlign w:val="center"/>
            <w:hideMark/>
          </w:tcPr>
          <w:p w14:paraId="29CAFD53" w14:textId="0723C14B"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r w:rsidRPr="00C62D72">
              <w:rPr>
                <w:rStyle w:val="FootnoteReference"/>
                <w:color w:val="FFFFFF" w:themeColor="background1"/>
              </w:rPr>
              <w:fldChar w:fldCharType="begin"/>
            </w:r>
            <w:r w:rsidRPr="00C62D72">
              <w:rPr>
                <w:rStyle w:val="FootnoteReference"/>
                <w:color w:val="FFFFFF" w:themeColor="background1"/>
              </w:rPr>
              <w:instrText xml:space="preserve"> NOTEREF _Ref169704779 \f \h  \* MERGEFORMAT </w:instrText>
            </w:r>
            <w:r w:rsidRPr="00C62D72">
              <w:rPr>
                <w:rStyle w:val="FootnoteReference"/>
                <w:color w:val="FFFFFF" w:themeColor="background1"/>
              </w:rPr>
            </w:r>
            <w:r w:rsidRPr="00C62D72">
              <w:rPr>
                <w:rStyle w:val="FootnoteReference"/>
                <w:color w:val="FFFFFF" w:themeColor="background1"/>
              </w:rPr>
              <w:fldChar w:fldCharType="separate"/>
            </w:r>
            <w:r w:rsidRPr="00C62D72">
              <w:rPr>
                <w:rStyle w:val="FootnoteReference"/>
                <w:color w:val="FFFFFF" w:themeColor="background1"/>
              </w:rPr>
              <w:t>3</w:t>
            </w:r>
            <w:r w:rsidRPr="00C62D72">
              <w:rPr>
                <w:rStyle w:val="FootnoteReference"/>
                <w:color w:val="FFFFFF" w:themeColor="background1"/>
              </w:rPr>
              <w:fldChar w:fldCharType="end"/>
            </w:r>
          </w:p>
        </w:tc>
        <w:tc>
          <w:tcPr>
            <w:tcW w:w="547" w:type="pct"/>
            <w:shd w:val="clear" w:color="auto" w:fill="FFFFFF" w:themeFill="background1"/>
            <w:noWrap/>
            <w:vAlign w:val="center"/>
            <w:hideMark/>
          </w:tcPr>
          <w:p w14:paraId="6B6514B8" w14:textId="022F53B3" w:rsidR="0016685E" w:rsidRPr="00CD11DE" w:rsidRDefault="0016685E" w:rsidP="0016685E">
            <w:pPr>
              <w:keepLines w:val="0"/>
              <w:spacing w:after="0" w:line="240" w:lineRule="auto"/>
              <w:jc w:val="right"/>
              <w:rPr>
                <w:rFonts w:eastAsia="Times New Roman"/>
                <w:sz w:val="18"/>
                <w:szCs w:val="18"/>
              </w:rPr>
            </w:pPr>
            <w:r w:rsidRPr="00CD11DE">
              <w:rPr>
                <w:sz w:val="18"/>
                <w:szCs w:val="18"/>
              </w:rPr>
              <w:t>899.7</w:t>
            </w:r>
          </w:p>
        </w:tc>
        <w:tc>
          <w:tcPr>
            <w:tcW w:w="626" w:type="pct"/>
            <w:shd w:val="clear" w:color="auto" w:fill="FFFFFF" w:themeFill="background1"/>
            <w:vAlign w:val="center"/>
          </w:tcPr>
          <w:p w14:paraId="1FD8C032" w14:textId="6CAAB871" w:rsidR="0016685E" w:rsidRPr="00CD11DE" w:rsidRDefault="0016685E" w:rsidP="0016685E">
            <w:pPr>
              <w:keepLines w:val="0"/>
              <w:spacing w:after="0" w:line="240" w:lineRule="auto"/>
              <w:jc w:val="right"/>
              <w:rPr>
                <w:rFonts w:eastAsia="Times New Roman"/>
                <w:sz w:val="18"/>
                <w:szCs w:val="18"/>
              </w:rPr>
            </w:pPr>
            <w:r w:rsidRPr="00CD11DE">
              <w:rPr>
                <w:sz w:val="18"/>
                <w:szCs w:val="18"/>
              </w:rPr>
              <w:t>899.7</w:t>
            </w:r>
          </w:p>
        </w:tc>
        <w:tc>
          <w:tcPr>
            <w:tcW w:w="625" w:type="pct"/>
            <w:shd w:val="clear" w:color="auto" w:fill="FFFFFF" w:themeFill="background1"/>
            <w:noWrap/>
            <w:vAlign w:val="center"/>
            <w:hideMark/>
          </w:tcPr>
          <w:p w14:paraId="595200A0" w14:textId="6C72ACA7" w:rsidR="0016685E" w:rsidRPr="00CD11DE" w:rsidRDefault="0016685E" w:rsidP="0016685E">
            <w:pPr>
              <w:keepLines w:val="0"/>
              <w:spacing w:after="0" w:line="240" w:lineRule="auto"/>
              <w:jc w:val="right"/>
              <w:rPr>
                <w:rFonts w:eastAsia="Times New Roman"/>
                <w:sz w:val="18"/>
                <w:szCs w:val="18"/>
              </w:rPr>
            </w:pPr>
            <w:r w:rsidRPr="00CD11DE">
              <w:rPr>
                <w:sz w:val="18"/>
                <w:szCs w:val="18"/>
              </w:rPr>
              <w:t>870.5</w:t>
            </w:r>
          </w:p>
        </w:tc>
        <w:tc>
          <w:tcPr>
            <w:tcW w:w="547" w:type="pct"/>
            <w:shd w:val="clear" w:color="auto" w:fill="FFFFFF" w:themeFill="background1"/>
            <w:noWrap/>
            <w:vAlign w:val="center"/>
            <w:hideMark/>
          </w:tcPr>
          <w:p w14:paraId="39EED863" w14:textId="06567F47" w:rsidR="0016685E" w:rsidRPr="00CD11DE" w:rsidRDefault="0016685E" w:rsidP="0016685E">
            <w:pPr>
              <w:keepLines w:val="0"/>
              <w:spacing w:after="0" w:line="240" w:lineRule="auto"/>
              <w:jc w:val="right"/>
              <w:rPr>
                <w:rFonts w:eastAsia="Times New Roman"/>
                <w:sz w:val="18"/>
                <w:szCs w:val="18"/>
              </w:rPr>
            </w:pPr>
            <w:r w:rsidRPr="00CD11DE">
              <w:rPr>
                <w:sz w:val="18"/>
                <w:szCs w:val="18"/>
              </w:rPr>
              <w:t>434.8</w:t>
            </w:r>
          </w:p>
        </w:tc>
        <w:tc>
          <w:tcPr>
            <w:tcW w:w="547" w:type="pct"/>
            <w:shd w:val="clear" w:color="auto" w:fill="FFFFFF" w:themeFill="background1"/>
            <w:noWrap/>
            <w:vAlign w:val="center"/>
            <w:hideMark/>
          </w:tcPr>
          <w:p w14:paraId="1AF014C6" w14:textId="3F5D7CF7" w:rsidR="0016685E" w:rsidRPr="00CD11DE" w:rsidRDefault="0016685E" w:rsidP="0016685E">
            <w:pPr>
              <w:keepLines w:val="0"/>
              <w:spacing w:after="0" w:line="240" w:lineRule="auto"/>
              <w:jc w:val="right"/>
              <w:rPr>
                <w:rFonts w:eastAsia="Times New Roman"/>
                <w:sz w:val="18"/>
                <w:szCs w:val="18"/>
              </w:rPr>
            </w:pPr>
            <w:r w:rsidRPr="00CD11DE">
              <w:rPr>
                <w:sz w:val="18"/>
                <w:szCs w:val="18"/>
              </w:rPr>
              <w:t>34.8</w:t>
            </w:r>
          </w:p>
        </w:tc>
        <w:tc>
          <w:tcPr>
            <w:tcW w:w="547" w:type="pct"/>
            <w:shd w:val="clear" w:color="auto" w:fill="FFFFFF" w:themeFill="background1"/>
            <w:noWrap/>
            <w:vAlign w:val="center"/>
            <w:hideMark/>
          </w:tcPr>
          <w:p w14:paraId="0759BC5C" w14:textId="008FF616" w:rsidR="0016685E" w:rsidRPr="00CD11DE" w:rsidRDefault="0016685E" w:rsidP="0016685E">
            <w:pPr>
              <w:keepLines w:val="0"/>
              <w:spacing w:after="0" w:line="240" w:lineRule="auto"/>
              <w:jc w:val="right"/>
              <w:rPr>
                <w:rFonts w:eastAsia="Times New Roman"/>
                <w:sz w:val="18"/>
                <w:szCs w:val="18"/>
              </w:rPr>
            </w:pPr>
            <w:r w:rsidRPr="00CD11DE">
              <w:rPr>
                <w:sz w:val="18"/>
                <w:szCs w:val="18"/>
              </w:rPr>
              <w:t>45.6%</w:t>
            </w:r>
          </w:p>
        </w:tc>
      </w:tr>
      <w:tr w:rsidR="0016685E" w:rsidRPr="00CD11DE" w14:paraId="21D994A4" w14:textId="77777777" w:rsidTr="006F3279">
        <w:trPr>
          <w:trHeight w:val="283"/>
        </w:trPr>
        <w:tc>
          <w:tcPr>
            <w:tcW w:w="1561" w:type="pct"/>
            <w:shd w:val="clear" w:color="auto" w:fill="06B1D6" w:themeFill="accent1"/>
            <w:vAlign w:val="center"/>
            <w:hideMark/>
          </w:tcPr>
          <w:p w14:paraId="2D095F1F" w14:textId="01BB124C"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 assets</w:t>
            </w:r>
            <w:r w:rsidRPr="00C62D72">
              <w:rPr>
                <w:rFonts w:eastAsia="Times New Roman"/>
                <w:b/>
                <w:bCs/>
                <w:color w:val="FFFFFF" w:themeColor="background1"/>
                <w:sz w:val="18"/>
                <w:szCs w:val="18"/>
              </w:rPr>
              <w:fldChar w:fldCharType="begin"/>
            </w:r>
            <w:r w:rsidRPr="00C62D72">
              <w:rPr>
                <w:rFonts w:eastAsia="Times New Roman"/>
                <w:b/>
                <w:bCs/>
                <w:color w:val="FFFFFF" w:themeColor="background1"/>
                <w:sz w:val="18"/>
                <w:szCs w:val="18"/>
              </w:rPr>
              <w:instrText xml:space="preserve"> NOTEREF _Ref169705389 \f \h </w:instrText>
            </w:r>
            <w:r w:rsidRPr="00C62D72">
              <w:rPr>
                <w:rFonts w:eastAsia="Times New Roman"/>
                <w:b/>
                <w:bCs/>
                <w:color w:val="FFFFFF" w:themeColor="background1"/>
                <w:sz w:val="18"/>
                <w:szCs w:val="18"/>
              </w:rPr>
            </w:r>
            <w:r w:rsidRPr="00C62D72">
              <w:rPr>
                <w:rFonts w:eastAsia="Times New Roman"/>
                <w:b/>
                <w:bCs/>
                <w:color w:val="FFFFFF" w:themeColor="background1"/>
                <w:sz w:val="18"/>
                <w:szCs w:val="18"/>
              </w:rPr>
              <w:fldChar w:fldCharType="separate"/>
            </w:r>
            <w:r w:rsidRPr="00C62D72">
              <w:rPr>
                <w:rStyle w:val="FootnoteReference"/>
                <w:color w:val="FFFFFF" w:themeColor="background1"/>
              </w:rPr>
              <w:t>4</w:t>
            </w:r>
            <w:r w:rsidRPr="00C62D72">
              <w:rPr>
                <w:rFonts w:eastAsia="Times New Roman"/>
                <w:b/>
                <w:bCs/>
                <w:color w:val="FFFFFF" w:themeColor="background1"/>
                <w:sz w:val="18"/>
                <w:szCs w:val="18"/>
              </w:rPr>
              <w:fldChar w:fldCharType="end"/>
            </w:r>
          </w:p>
        </w:tc>
        <w:tc>
          <w:tcPr>
            <w:tcW w:w="547" w:type="pct"/>
            <w:shd w:val="clear" w:color="auto" w:fill="FFFFFF" w:themeFill="background1"/>
            <w:noWrap/>
            <w:vAlign w:val="center"/>
            <w:hideMark/>
          </w:tcPr>
          <w:p w14:paraId="5B930027" w14:textId="2DE0621D" w:rsidR="0016685E" w:rsidRPr="00CD11DE" w:rsidRDefault="0016685E" w:rsidP="0016685E">
            <w:pPr>
              <w:keepLines w:val="0"/>
              <w:spacing w:after="0" w:line="240" w:lineRule="auto"/>
              <w:jc w:val="right"/>
              <w:rPr>
                <w:rFonts w:eastAsia="Times New Roman"/>
                <w:sz w:val="18"/>
                <w:szCs w:val="18"/>
              </w:rPr>
            </w:pPr>
            <w:r w:rsidRPr="00CD11DE">
              <w:rPr>
                <w:sz w:val="18"/>
                <w:szCs w:val="18"/>
              </w:rPr>
              <w:t>50.1</w:t>
            </w:r>
          </w:p>
        </w:tc>
        <w:tc>
          <w:tcPr>
            <w:tcW w:w="626" w:type="pct"/>
            <w:shd w:val="clear" w:color="auto" w:fill="FFFFFF" w:themeFill="background1"/>
            <w:vAlign w:val="center"/>
          </w:tcPr>
          <w:p w14:paraId="3179B47B" w14:textId="1420CE40" w:rsidR="0016685E" w:rsidRPr="00CD11DE" w:rsidRDefault="0016685E" w:rsidP="0016685E">
            <w:pPr>
              <w:keepLines w:val="0"/>
              <w:spacing w:after="0" w:line="240" w:lineRule="auto"/>
              <w:jc w:val="right"/>
              <w:rPr>
                <w:rFonts w:eastAsia="Times New Roman"/>
                <w:sz w:val="18"/>
                <w:szCs w:val="18"/>
              </w:rPr>
            </w:pPr>
            <w:r w:rsidRPr="00CD11DE">
              <w:rPr>
                <w:sz w:val="18"/>
                <w:szCs w:val="18"/>
              </w:rPr>
              <w:t>42.1</w:t>
            </w:r>
          </w:p>
        </w:tc>
        <w:tc>
          <w:tcPr>
            <w:tcW w:w="625" w:type="pct"/>
            <w:shd w:val="clear" w:color="auto" w:fill="FFFFFF" w:themeFill="background1"/>
            <w:noWrap/>
            <w:vAlign w:val="center"/>
            <w:hideMark/>
          </w:tcPr>
          <w:p w14:paraId="250DA422" w14:textId="499538D1" w:rsidR="0016685E" w:rsidRPr="00CD11DE" w:rsidRDefault="0016685E" w:rsidP="0016685E">
            <w:pPr>
              <w:keepLines w:val="0"/>
              <w:spacing w:after="0" w:line="240" w:lineRule="auto"/>
              <w:jc w:val="right"/>
              <w:rPr>
                <w:rFonts w:eastAsia="Times New Roman"/>
                <w:sz w:val="18"/>
                <w:szCs w:val="18"/>
              </w:rPr>
            </w:pPr>
            <w:r w:rsidRPr="00CD11DE">
              <w:rPr>
                <w:sz w:val="18"/>
                <w:szCs w:val="18"/>
              </w:rPr>
              <w:t>39.4</w:t>
            </w:r>
          </w:p>
        </w:tc>
        <w:tc>
          <w:tcPr>
            <w:tcW w:w="547" w:type="pct"/>
            <w:shd w:val="clear" w:color="auto" w:fill="FFFFFF" w:themeFill="background1"/>
            <w:noWrap/>
            <w:vAlign w:val="center"/>
            <w:hideMark/>
          </w:tcPr>
          <w:p w14:paraId="175E70D7" w14:textId="7CB177A9" w:rsidR="0016685E" w:rsidRPr="00CD11DE" w:rsidRDefault="0016685E" w:rsidP="0016685E">
            <w:pPr>
              <w:keepLines w:val="0"/>
              <w:spacing w:after="0" w:line="240" w:lineRule="auto"/>
              <w:jc w:val="right"/>
              <w:rPr>
                <w:rFonts w:eastAsia="Times New Roman"/>
                <w:sz w:val="18"/>
                <w:szCs w:val="18"/>
              </w:rPr>
            </w:pPr>
            <w:r w:rsidRPr="00CD11DE">
              <w:rPr>
                <w:sz w:val="18"/>
                <w:szCs w:val="18"/>
              </w:rPr>
              <w:t>41.1</w:t>
            </w:r>
          </w:p>
        </w:tc>
        <w:tc>
          <w:tcPr>
            <w:tcW w:w="547" w:type="pct"/>
            <w:shd w:val="clear" w:color="auto" w:fill="FFFFFF" w:themeFill="background1"/>
            <w:noWrap/>
            <w:vAlign w:val="center"/>
            <w:hideMark/>
          </w:tcPr>
          <w:p w14:paraId="1D1B9C55" w14:textId="3F488CB9" w:rsidR="0016685E" w:rsidRPr="00CD11DE" w:rsidRDefault="0016685E" w:rsidP="0016685E">
            <w:pPr>
              <w:keepLines w:val="0"/>
              <w:spacing w:after="0" w:line="240" w:lineRule="auto"/>
              <w:jc w:val="right"/>
              <w:rPr>
                <w:rFonts w:eastAsia="Times New Roman"/>
                <w:sz w:val="18"/>
                <w:szCs w:val="18"/>
              </w:rPr>
            </w:pPr>
            <w:r w:rsidRPr="00CD11DE">
              <w:rPr>
                <w:sz w:val="18"/>
                <w:szCs w:val="18"/>
              </w:rPr>
              <w:t>3.3</w:t>
            </w:r>
          </w:p>
        </w:tc>
        <w:tc>
          <w:tcPr>
            <w:tcW w:w="547" w:type="pct"/>
            <w:shd w:val="clear" w:color="auto" w:fill="FFFFFF" w:themeFill="background1"/>
            <w:noWrap/>
            <w:vAlign w:val="center"/>
            <w:hideMark/>
          </w:tcPr>
          <w:p w14:paraId="47493382" w14:textId="5D4B78A3" w:rsidR="0016685E" w:rsidRPr="00CD11DE" w:rsidRDefault="0016685E" w:rsidP="0016685E">
            <w:pPr>
              <w:keepLines w:val="0"/>
              <w:spacing w:after="0" w:line="240" w:lineRule="auto"/>
              <w:jc w:val="right"/>
              <w:rPr>
                <w:rFonts w:eastAsia="Times New Roman"/>
                <w:sz w:val="18"/>
                <w:szCs w:val="18"/>
              </w:rPr>
            </w:pPr>
            <w:r w:rsidRPr="00CD11DE">
              <w:rPr>
                <w:sz w:val="18"/>
                <w:szCs w:val="18"/>
              </w:rPr>
              <w:t>4.3%</w:t>
            </w:r>
          </w:p>
        </w:tc>
      </w:tr>
      <w:tr w:rsidR="0016685E" w:rsidRPr="00CD11DE" w14:paraId="1659E8CC" w14:textId="77777777" w:rsidTr="006F3279">
        <w:trPr>
          <w:trHeight w:val="283"/>
        </w:trPr>
        <w:tc>
          <w:tcPr>
            <w:tcW w:w="1561" w:type="pct"/>
            <w:shd w:val="clear" w:color="auto" w:fill="06B1D6" w:themeFill="accent1"/>
            <w:vAlign w:val="center"/>
            <w:hideMark/>
          </w:tcPr>
          <w:p w14:paraId="520DCF8A"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Sub-total</w:t>
            </w:r>
          </w:p>
        </w:tc>
        <w:tc>
          <w:tcPr>
            <w:tcW w:w="547" w:type="pct"/>
            <w:shd w:val="clear" w:color="auto" w:fill="FFFFFF" w:themeFill="background1"/>
            <w:noWrap/>
            <w:vAlign w:val="center"/>
            <w:hideMark/>
          </w:tcPr>
          <w:p w14:paraId="76DFB007" w14:textId="335FE07B"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2,493.2</w:t>
            </w:r>
          </w:p>
        </w:tc>
        <w:tc>
          <w:tcPr>
            <w:tcW w:w="626" w:type="pct"/>
            <w:shd w:val="clear" w:color="auto" w:fill="FFFFFF" w:themeFill="background1"/>
            <w:vAlign w:val="center"/>
          </w:tcPr>
          <w:p w14:paraId="7E710702" w14:textId="00338B4E"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2,485.2</w:t>
            </w:r>
          </w:p>
        </w:tc>
        <w:tc>
          <w:tcPr>
            <w:tcW w:w="625" w:type="pct"/>
            <w:shd w:val="clear" w:color="auto" w:fill="FFFFFF" w:themeFill="background1"/>
            <w:noWrap/>
            <w:vAlign w:val="center"/>
            <w:hideMark/>
          </w:tcPr>
          <w:p w14:paraId="5126CB57" w14:textId="7C837AB9"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2,449.3</w:t>
            </w:r>
          </w:p>
        </w:tc>
        <w:tc>
          <w:tcPr>
            <w:tcW w:w="547" w:type="pct"/>
            <w:shd w:val="clear" w:color="auto" w:fill="FFFFFF" w:themeFill="background1"/>
            <w:noWrap/>
            <w:vAlign w:val="center"/>
            <w:hideMark/>
          </w:tcPr>
          <w:p w14:paraId="5853ACEF" w14:textId="602E9B81"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950.0</w:t>
            </w:r>
          </w:p>
        </w:tc>
        <w:tc>
          <w:tcPr>
            <w:tcW w:w="547" w:type="pct"/>
            <w:shd w:val="clear" w:color="auto" w:fill="FFFFFF" w:themeFill="background1"/>
            <w:noWrap/>
            <w:vAlign w:val="center"/>
            <w:hideMark/>
          </w:tcPr>
          <w:p w14:paraId="1D1E2EFC" w14:textId="77109E4B"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76.0</w:t>
            </w:r>
          </w:p>
        </w:tc>
        <w:tc>
          <w:tcPr>
            <w:tcW w:w="547" w:type="pct"/>
            <w:shd w:val="clear" w:color="auto" w:fill="FFFFFF" w:themeFill="background1"/>
            <w:noWrap/>
            <w:vAlign w:val="center"/>
            <w:hideMark/>
          </w:tcPr>
          <w:p w14:paraId="29FD2B13" w14:textId="53959BCE"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99.6%</w:t>
            </w:r>
          </w:p>
        </w:tc>
      </w:tr>
      <w:tr w:rsidR="0016685E" w:rsidRPr="00CD11DE" w14:paraId="67F6BC2B" w14:textId="77777777" w:rsidTr="006F3279">
        <w:trPr>
          <w:trHeight w:val="283"/>
        </w:trPr>
        <w:tc>
          <w:tcPr>
            <w:tcW w:w="1561" w:type="pct"/>
            <w:shd w:val="clear" w:color="auto" w:fill="06B1D6" w:themeFill="accent1"/>
            <w:vAlign w:val="center"/>
            <w:hideMark/>
          </w:tcPr>
          <w:p w14:paraId="3A2D936E" w14:textId="46373B94"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Commitment to finance</w:t>
            </w:r>
            <w:r w:rsidRPr="00C62D72">
              <w:rPr>
                <w:rFonts w:eastAsia="Times New Roman"/>
                <w:b/>
                <w:bCs/>
                <w:color w:val="FFFFFF" w:themeColor="background1"/>
                <w:sz w:val="18"/>
                <w:szCs w:val="18"/>
              </w:rPr>
              <w:fldChar w:fldCharType="begin"/>
            </w:r>
            <w:r w:rsidRPr="00C62D72">
              <w:rPr>
                <w:rFonts w:eastAsia="Times New Roman"/>
                <w:b/>
                <w:bCs/>
                <w:color w:val="FFFFFF" w:themeColor="background1"/>
                <w:sz w:val="18"/>
                <w:szCs w:val="18"/>
              </w:rPr>
              <w:instrText xml:space="preserve"> NOTEREF _Ref169704779 \f \h </w:instrText>
            </w:r>
            <w:r w:rsidRPr="00C62D72">
              <w:rPr>
                <w:rFonts w:eastAsia="Times New Roman"/>
                <w:b/>
                <w:bCs/>
                <w:color w:val="FFFFFF" w:themeColor="background1"/>
                <w:sz w:val="18"/>
                <w:szCs w:val="18"/>
              </w:rPr>
            </w:r>
            <w:r w:rsidRPr="00C62D72">
              <w:rPr>
                <w:rFonts w:eastAsia="Times New Roman"/>
                <w:b/>
                <w:bCs/>
                <w:color w:val="FFFFFF" w:themeColor="background1"/>
                <w:sz w:val="18"/>
                <w:szCs w:val="18"/>
              </w:rPr>
              <w:fldChar w:fldCharType="separate"/>
            </w:r>
            <w:r w:rsidRPr="00C62D72">
              <w:rPr>
                <w:rStyle w:val="FootnoteReference"/>
                <w:color w:val="FFFFFF" w:themeColor="background1"/>
              </w:rPr>
              <w:t>3</w:t>
            </w:r>
            <w:r w:rsidRPr="00C62D72">
              <w:rPr>
                <w:rFonts w:eastAsia="Times New Roman"/>
                <w:b/>
                <w:bCs/>
                <w:color w:val="FFFFFF" w:themeColor="background1"/>
                <w:sz w:val="18"/>
                <w:szCs w:val="18"/>
              </w:rPr>
              <w:fldChar w:fldCharType="end"/>
            </w:r>
          </w:p>
        </w:tc>
        <w:tc>
          <w:tcPr>
            <w:tcW w:w="547" w:type="pct"/>
            <w:shd w:val="clear" w:color="auto" w:fill="FFFFFF" w:themeFill="background1"/>
            <w:noWrap/>
            <w:vAlign w:val="center"/>
            <w:hideMark/>
          </w:tcPr>
          <w:p w14:paraId="017DA786" w14:textId="77777777" w:rsidR="0016685E" w:rsidRPr="00CD11DE" w:rsidRDefault="0016685E" w:rsidP="0016685E">
            <w:pPr>
              <w:keepLines w:val="0"/>
              <w:spacing w:after="0" w:line="240" w:lineRule="auto"/>
              <w:jc w:val="right"/>
              <w:rPr>
                <w:rFonts w:eastAsia="Times New Roman"/>
                <w:sz w:val="18"/>
                <w:szCs w:val="18"/>
              </w:rPr>
            </w:pPr>
          </w:p>
        </w:tc>
        <w:tc>
          <w:tcPr>
            <w:tcW w:w="626" w:type="pct"/>
            <w:shd w:val="clear" w:color="auto" w:fill="FFFFFF" w:themeFill="background1"/>
            <w:vAlign w:val="center"/>
          </w:tcPr>
          <w:p w14:paraId="4C907ADF" w14:textId="2D8711B8" w:rsidR="0016685E" w:rsidRPr="00CD11DE" w:rsidRDefault="0016685E" w:rsidP="0016685E">
            <w:pPr>
              <w:keepLines w:val="0"/>
              <w:spacing w:after="0" w:line="240" w:lineRule="auto"/>
              <w:jc w:val="right"/>
              <w:rPr>
                <w:rFonts w:eastAsia="Times New Roman"/>
                <w:sz w:val="18"/>
                <w:szCs w:val="18"/>
              </w:rPr>
            </w:pPr>
            <w:r w:rsidRPr="00CD11DE">
              <w:rPr>
                <w:sz w:val="18"/>
                <w:szCs w:val="18"/>
              </w:rPr>
              <w:t>0.3</w:t>
            </w:r>
          </w:p>
        </w:tc>
        <w:tc>
          <w:tcPr>
            <w:tcW w:w="625" w:type="pct"/>
            <w:shd w:val="clear" w:color="auto" w:fill="FFFFFF" w:themeFill="background1"/>
            <w:noWrap/>
            <w:vAlign w:val="center"/>
            <w:hideMark/>
          </w:tcPr>
          <w:p w14:paraId="5DC6A9E2" w14:textId="31BF7831" w:rsidR="0016685E" w:rsidRPr="00CD11DE" w:rsidRDefault="0016685E" w:rsidP="0016685E">
            <w:pPr>
              <w:keepLines w:val="0"/>
              <w:spacing w:after="0" w:line="240" w:lineRule="auto"/>
              <w:jc w:val="right"/>
              <w:rPr>
                <w:rFonts w:eastAsia="Times New Roman"/>
                <w:sz w:val="18"/>
                <w:szCs w:val="18"/>
              </w:rPr>
            </w:pPr>
            <w:r w:rsidRPr="00CD11DE">
              <w:rPr>
                <w:sz w:val="18"/>
                <w:szCs w:val="18"/>
              </w:rPr>
              <w:t>0.2</w:t>
            </w:r>
          </w:p>
        </w:tc>
        <w:tc>
          <w:tcPr>
            <w:tcW w:w="547" w:type="pct"/>
            <w:shd w:val="clear" w:color="auto" w:fill="FFFFFF" w:themeFill="background1"/>
            <w:noWrap/>
            <w:vAlign w:val="center"/>
            <w:hideMark/>
          </w:tcPr>
          <w:p w14:paraId="2970257C" w14:textId="1972BA0F" w:rsidR="0016685E" w:rsidRPr="00CD11DE" w:rsidRDefault="0016685E" w:rsidP="0016685E">
            <w:pPr>
              <w:keepLines w:val="0"/>
              <w:spacing w:after="0" w:line="240" w:lineRule="auto"/>
              <w:jc w:val="right"/>
              <w:rPr>
                <w:rFonts w:eastAsia="Times New Roman"/>
                <w:sz w:val="18"/>
                <w:szCs w:val="18"/>
              </w:rPr>
            </w:pPr>
            <w:r w:rsidRPr="00CD11DE">
              <w:rPr>
                <w:sz w:val="18"/>
                <w:szCs w:val="18"/>
              </w:rPr>
              <w:t>0.5</w:t>
            </w:r>
          </w:p>
        </w:tc>
        <w:tc>
          <w:tcPr>
            <w:tcW w:w="547" w:type="pct"/>
            <w:shd w:val="clear" w:color="auto" w:fill="FFFFFF" w:themeFill="background1"/>
            <w:noWrap/>
            <w:vAlign w:val="center"/>
            <w:hideMark/>
          </w:tcPr>
          <w:p w14:paraId="4E5ACC7B" w14:textId="61588526" w:rsidR="0016685E" w:rsidRPr="00CD11DE" w:rsidRDefault="0016685E" w:rsidP="0016685E">
            <w:pPr>
              <w:keepLines w:val="0"/>
              <w:spacing w:after="0" w:line="240" w:lineRule="auto"/>
              <w:jc w:val="right"/>
              <w:rPr>
                <w:rFonts w:eastAsia="Times New Roman"/>
                <w:sz w:val="18"/>
                <w:szCs w:val="18"/>
              </w:rPr>
            </w:pPr>
            <w:r w:rsidRPr="00CD11DE">
              <w:rPr>
                <w:sz w:val="18"/>
                <w:szCs w:val="18"/>
              </w:rPr>
              <w:t>0.0</w:t>
            </w:r>
          </w:p>
        </w:tc>
        <w:tc>
          <w:tcPr>
            <w:tcW w:w="547" w:type="pct"/>
            <w:shd w:val="clear" w:color="auto" w:fill="FFFFFF" w:themeFill="background1"/>
            <w:noWrap/>
            <w:vAlign w:val="center"/>
            <w:hideMark/>
          </w:tcPr>
          <w:p w14:paraId="0C635AA3" w14:textId="1BF8E962" w:rsidR="0016685E" w:rsidRPr="00CD11DE" w:rsidRDefault="0016685E" w:rsidP="0016685E">
            <w:pPr>
              <w:keepLines w:val="0"/>
              <w:spacing w:after="0" w:line="240" w:lineRule="auto"/>
              <w:jc w:val="right"/>
              <w:rPr>
                <w:rFonts w:eastAsia="Times New Roman"/>
                <w:sz w:val="18"/>
                <w:szCs w:val="18"/>
              </w:rPr>
            </w:pPr>
            <w:r w:rsidRPr="00CD11DE">
              <w:rPr>
                <w:sz w:val="18"/>
                <w:szCs w:val="18"/>
              </w:rPr>
              <w:t>0.1%</w:t>
            </w:r>
          </w:p>
        </w:tc>
      </w:tr>
      <w:tr w:rsidR="0016685E" w:rsidRPr="00CD11DE" w14:paraId="542682B1" w14:textId="77777777" w:rsidTr="006F3279">
        <w:trPr>
          <w:trHeight w:val="283"/>
        </w:trPr>
        <w:tc>
          <w:tcPr>
            <w:tcW w:w="1561" w:type="pct"/>
            <w:shd w:val="clear" w:color="auto" w:fill="06B1D6" w:themeFill="accent1"/>
            <w:vAlign w:val="center"/>
          </w:tcPr>
          <w:p w14:paraId="32C0CE85" w14:textId="5DF7C395"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547" w:type="pct"/>
            <w:shd w:val="clear" w:color="auto" w:fill="FFFFFF" w:themeFill="background1"/>
            <w:noWrap/>
            <w:vAlign w:val="center"/>
          </w:tcPr>
          <w:p w14:paraId="29BF8774" w14:textId="77777777" w:rsidR="0016685E" w:rsidRPr="00CD11DE" w:rsidRDefault="0016685E" w:rsidP="0016685E">
            <w:pPr>
              <w:keepLines w:val="0"/>
              <w:spacing w:after="0" w:line="240" w:lineRule="auto"/>
              <w:jc w:val="right"/>
              <w:rPr>
                <w:rFonts w:eastAsia="Times New Roman"/>
                <w:sz w:val="18"/>
                <w:szCs w:val="18"/>
              </w:rPr>
            </w:pPr>
          </w:p>
        </w:tc>
        <w:tc>
          <w:tcPr>
            <w:tcW w:w="626" w:type="pct"/>
            <w:shd w:val="clear" w:color="auto" w:fill="FFFFFF" w:themeFill="background1"/>
            <w:vAlign w:val="center"/>
          </w:tcPr>
          <w:p w14:paraId="33BC3D64" w14:textId="371E21A1" w:rsidR="0016685E" w:rsidRPr="00CD11DE" w:rsidRDefault="0016685E" w:rsidP="0016685E">
            <w:pPr>
              <w:keepLines w:val="0"/>
              <w:spacing w:after="0" w:line="240" w:lineRule="auto"/>
              <w:jc w:val="right"/>
              <w:rPr>
                <w:rFonts w:eastAsia="Times New Roman"/>
                <w:sz w:val="18"/>
                <w:szCs w:val="18"/>
              </w:rPr>
            </w:pPr>
            <w:r w:rsidRPr="00CD11DE">
              <w:rPr>
                <w:sz w:val="18"/>
                <w:szCs w:val="18"/>
              </w:rPr>
              <w:t>11.2</w:t>
            </w:r>
          </w:p>
        </w:tc>
        <w:tc>
          <w:tcPr>
            <w:tcW w:w="625" w:type="pct"/>
            <w:shd w:val="clear" w:color="auto" w:fill="FFFFFF" w:themeFill="background1"/>
            <w:noWrap/>
            <w:vAlign w:val="center"/>
          </w:tcPr>
          <w:p w14:paraId="578BED68" w14:textId="19FCECD7" w:rsidR="0016685E" w:rsidRPr="00CD11DE" w:rsidRDefault="0016685E" w:rsidP="0016685E">
            <w:pPr>
              <w:keepLines w:val="0"/>
              <w:spacing w:after="0" w:line="240" w:lineRule="auto"/>
              <w:jc w:val="right"/>
              <w:rPr>
                <w:rFonts w:eastAsia="Times New Roman"/>
                <w:sz w:val="18"/>
                <w:szCs w:val="18"/>
              </w:rPr>
            </w:pPr>
            <w:r w:rsidRPr="00CD11DE">
              <w:rPr>
                <w:sz w:val="18"/>
                <w:szCs w:val="18"/>
              </w:rPr>
              <w:t>7.2</w:t>
            </w:r>
          </w:p>
        </w:tc>
        <w:tc>
          <w:tcPr>
            <w:tcW w:w="547" w:type="pct"/>
            <w:shd w:val="clear" w:color="auto" w:fill="FFFFFF" w:themeFill="background1"/>
            <w:noWrap/>
            <w:vAlign w:val="center"/>
          </w:tcPr>
          <w:p w14:paraId="2E1FA4F2" w14:textId="1716B54C" w:rsidR="0016685E" w:rsidRPr="00CD11DE" w:rsidRDefault="0016685E" w:rsidP="0016685E">
            <w:pPr>
              <w:keepLines w:val="0"/>
              <w:spacing w:after="0" w:line="240" w:lineRule="auto"/>
              <w:jc w:val="right"/>
              <w:rPr>
                <w:rFonts w:eastAsia="Times New Roman"/>
                <w:sz w:val="18"/>
                <w:szCs w:val="18"/>
              </w:rPr>
            </w:pPr>
            <w:r w:rsidRPr="00CD11DE">
              <w:rPr>
                <w:sz w:val="18"/>
                <w:szCs w:val="18"/>
              </w:rPr>
              <w:t>3.2</w:t>
            </w:r>
          </w:p>
        </w:tc>
        <w:tc>
          <w:tcPr>
            <w:tcW w:w="547" w:type="pct"/>
            <w:shd w:val="clear" w:color="auto" w:fill="FFFFFF" w:themeFill="background1"/>
            <w:noWrap/>
            <w:vAlign w:val="center"/>
          </w:tcPr>
          <w:p w14:paraId="0F079C8D" w14:textId="5D35D922" w:rsidR="0016685E" w:rsidRPr="00CD11DE" w:rsidRDefault="0016685E" w:rsidP="0016685E">
            <w:pPr>
              <w:keepLines w:val="0"/>
              <w:spacing w:after="0" w:line="240" w:lineRule="auto"/>
              <w:jc w:val="right"/>
              <w:rPr>
                <w:rFonts w:eastAsia="Times New Roman"/>
                <w:sz w:val="18"/>
                <w:szCs w:val="18"/>
              </w:rPr>
            </w:pPr>
            <w:r w:rsidRPr="00CD11DE">
              <w:rPr>
                <w:sz w:val="18"/>
                <w:szCs w:val="18"/>
              </w:rPr>
              <w:t>0.3</w:t>
            </w:r>
          </w:p>
        </w:tc>
        <w:tc>
          <w:tcPr>
            <w:tcW w:w="547" w:type="pct"/>
            <w:shd w:val="clear" w:color="auto" w:fill="FFFFFF" w:themeFill="background1"/>
            <w:noWrap/>
            <w:vAlign w:val="center"/>
          </w:tcPr>
          <w:p w14:paraId="320D8F63" w14:textId="75D7D3DA" w:rsidR="0016685E" w:rsidRPr="00CD11DE" w:rsidRDefault="0016685E" w:rsidP="0016685E">
            <w:pPr>
              <w:keepLines w:val="0"/>
              <w:spacing w:after="0" w:line="240" w:lineRule="auto"/>
              <w:jc w:val="right"/>
              <w:rPr>
                <w:rFonts w:eastAsia="Times New Roman"/>
                <w:sz w:val="18"/>
                <w:szCs w:val="18"/>
              </w:rPr>
            </w:pPr>
            <w:r w:rsidRPr="00CD11DE">
              <w:rPr>
                <w:sz w:val="18"/>
                <w:szCs w:val="18"/>
              </w:rPr>
              <w:t>0.3%</w:t>
            </w:r>
          </w:p>
        </w:tc>
      </w:tr>
      <w:tr w:rsidR="0016685E" w:rsidRPr="00CD11DE" w14:paraId="671C60D3" w14:textId="77777777" w:rsidTr="006F3279">
        <w:trPr>
          <w:trHeight w:val="283"/>
        </w:trPr>
        <w:tc>
          <w:tcPr>
            <w:tcW w:w="1561" w:type="pct"/>
            <w:shd w:val="clear" w:color="auto" w:fill="06B1D6" w:themeFill="accent1"/>
            <w:vAlign w:val="center"/>
            <w:hideMark/>
          </w:tcPr>
          <w:p w14:paraId="0CE8D2FD"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547" w:type="pct"/>
            <w:shd w:val="clear" w:color="auto" w:fill="FFFFFF" w:themeFill="background1"/>
            <w:noWrap/>
            <w:vAlign w:val="center"/>
            <w:hideMark/>
          </w:tcPr>
          <w:p w14:paraId="5AF2FED6" w14:textId="73E73E9D"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2,493.2</w:t>
            </w:r>
          </w:p>
        </w:tc>
        <w:tc>
          <w:tcPr>
            <w:tcW w:w="626" w:type="pct"/>
            <w:shd w:val="clear" w:color="auto" w:fill="FFFFFF" w:themeFill="background1"/>
            <w:vAlign w:val="center"/>
          </w:tcPr>
          <w:p w14:paraId="37274A29" w14:textId="095A06F2"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2,496.7</w:t>
            </w:r>
          </w:p>
        </w:tc>
        <w:tc>
          <w:tcPr>
            <w:tcW w:w="625" w:type="pct"/>
            <w:shd w:val="clear" w:color="auto" w:fill="FFFFFF" w:themeFill="background1"/>
            <w:noWrap/>
            <w:vAlign w:val="center"/>
            <w:hideMark/>
          </w:tcPr>
          <w:p w14:paraId="7954C861" w14:textId="0BBA1BD4"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2,456.7</w:t>
            </w:r>
          </w:p>
        </w:tc>
        <w:tc>
          <w:tcPr>
            <w:tcW w:w="547" w:type="pct"/>
            <w:shd w:val="clear" w:color="auto" w:fill="FFFFFF" w:themeFill="background1"/>
            <w:noWrap/>
            <w:vAlign w:val="center"/>
            <w:hideMark/>
          </w:tcPr>
          <w:p w14:paraId="44982800" w14:textId="52D24DB4"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953.7</w:t>
            </w:r>
          </w:p>
        </w:tc>
        <w:tc>
          <w:tcPr>
            <w:tcW w:w="547" w:type="pct"/>
            <w:shd w:val="clear" w:color="auto" w:fill="FFFFFF" w:themeFill="background1"/>
            <w:noWrap/>
            <w:vAlign w:val="center"/>
            <w:hideMark/>
          </w:tcPr>
          <w:p w14:paraId="1C435E18" w14:textId="68FBE5B4"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76.3</w:t>
            </w:r>
          </w:p>
        </w:tc>
        <w:tc>
          <w:tcPr>
            <w:tcW w:w="547" w:type="pct"/>
            <w:shd w:val="clear" w:color="auto" w:fill="FFFFFF" w:themeFill="background1"/>
            <w:noWrap/>
            <w:vAlign w:val="center"/>
            <w:hideMark/>
          </w:tcPr>
          <w:p w14:paraId="5F7D8D3E" w14:textId="22A81923"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100%</w:t>
            </w:r>
          </w:p>
        </w:tc>
      </w:tr>
    </w:tbl>
    <w:p w14:paraId="66D7615B" w14:textId="77777777" w:rsidR="0000514A" w:rsidRPr="00CD11DE" w:rsidRDefault="0000514A" w:rsidP="0000514A">
      <w:pPr>
        <w:spacing w:after="0"/>
        <w:rPr>
          <w:sz w:val="16"/>
          <w:szCs w:val="16"/>
        </w:rPr>
      </w:pPr>
    </w:p>
    <w:p w14:paraId="02110CB2" w14:textId="6B5E37D0" w:rsidR="00F42DCF" w:rsidRPr="00CD11DE" w:rsidRDefault="00F42DCF" w:rsidP="00F260C3">
      <w:pPr>
        <w:pStyle w:val="Caption"/>
      </w:pPr>
      <w:r w:rsidRPr="00CD11DE">
        <w:lastRenderedPageBreak/>
        <w:t xml:space="preserve">Table </w:t>
      </w:r>
      <w:r w:rsidRPr="00CD11DE">
        <w:fldChar w:fldCharType="begin"/>
      </w:r>
      <w:r w:rsidRPr="00CD11DE">
        <w:instrText xml:space="preserve"> SEQ Table \* ARABIC </w:instrText>
      </w:r>
      <w:r w:rsidRPr="00CD11DE">
        <w:fldChar w:fldCharType="separate"/>
      </w:r>
      <w:r w:rsidRPr="00CD11DE">
        <w:rPr>
          <w:noProof/>
        </w:rPr>
        <w:t>9</w:t>
      </w:r>
      <w:r w:rsidRPr="00CD11DE">
        <w:fldChar w:fldCharType="end"/>
      </w:r>
      <w:r w:rsidRPr="00CD11DE">
        <w:t xml:space="preserve">: Movements in RWAs for credit risk from 1 January </w:t>
      </w:r>
      <w:r w:rsidR="0023087C">
        <w:t>2024</w:t>
      </w:r>
      <w:r w:rsidRPr="00CD11DE">
        <w:t xml:space="preserve"> to 31 December </w:t>
      </w:r>
      <w:r w:rsidR="0023087C">
        <w:t>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203"/>
      </w:tblGrid>
      <w:tr w:rsidR="0000514A" w:rsidRPr="00CD11DE" w14:paraId="054EA45C" w14:textId="77777777" w:rsidTr="006F3279">
        <w:trPr>
          <w:trHeight w:val="289"/>
        </w:trPr>
        <w:tc>
          <w:tcPr>
            <w:tcW w:w="2118" w:type="pct"/>
            <w:shd w:val="clear" w:color="auto" w:fill="06B1D6" w:themeFill="accent1"/>
            <w:vAlign w:val="center"/>
            <w:hideMark/>
          </w:tcPr>
          <w:p w14:paraId="043BEF3B" w14:textId="69C0FB8A" w:rsidR="0000514A" w:rsidRPr="00CD11DE" w:rsidRDefault="005511F2" w:rsidP="00C1159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2882" w:type="pct"/>
            <w:shd w:val="clear" w:color="auto" w:fill="06B1D6" w:themeFill="accent1"/>
            <w:vAlign w:val="center"/>
            <w:hideMark/>
          </w:tcPr>
          <w:p w14:paraId="0A554BEE" w14:textId="77777777" w:rsidR="0000514A" w:rsidRPr="00CD11DE" w:rsidRDefault="0000514A" w:rsidP="00C1159A">
            <w:pPr>
              <w:keepLines w:val="0"/>
              <w:spacing w:after="0" w:line="240" w:lineRule="auto"/>
              <w:jc w:val="right"/>
              <w:rPr>
                <w:rFonts w:eastAsia="Times New Roman"/>
                <w:b/>
                <w:bCs/>
                <w:color w:val="FFFFFF"/>
                <w:sz w:val="18"/>
                <w:szCs w:val="18"/>
              </w:rPr>
            </w:pPr>
            <w:r w:rsidRPr="00CD11DE">
              <w:rPr>
                <w:rFonts w:eastAsia="Times New Roman"/>
                <w:b/>
                <w:bCs/>
                <w:color w:val="FFFFFF" w:themeColor="background1"/>
                <w:sz w:val="18"/>
                <w:szCs w:val="18"/>
              </w:rPr>
              <w:t>£m</w:t>
            </w:r>
          </w:p>
        </w:tc>
      </w:tr>
      <w:tr w:rsidR="001030FC" w:rsidRPr="00CD11DE" w14:paraId="3BA4D05D" w14:textId="77777777" w:rsidTr="006F3279">
        <w:trPr>
          <w:trHeight w:val="298"/>
        </w:trPr>
        <w:tc>
          <w:tcPr>
            <w:tcW w:w="2118" w:type="pct"/>
            <w:shd w:val="clear" w:color="auto" w:fill="06B1D6" w:themeFill="accent1"/>
            <w:vAlign w:val="center"/>
            <w:hideMark/>
          </w:tcPr>
          <w:p w14:paraId="3504080F"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Increase in Treasury assets</w:t>
            </w:r>
          </w:p>
        </w:tc>
        <w:tc>
          <w:tcPr>
            <w:tcW w:w="2882" w:type="pct"/>
            <w:shd w:val="clear" w:color="auto" w:fill="auto"/>
            <w:noWrap/>
          </w:tcPr>
          <w:p w14:paraId="76B5E87C" w14:textId="6BEFCD2C" w:rsidR="001030FC" w:rsidRPr="001030FC" w:rsidRDefault="00DF3CA3" w:rsidP="001030FC">
            <w:pPr>
              <w:keepLines w:val="0"/>
              <w:spacing w:after="0" w:line="240" w:lineRule="auto"/>
              <w:jc w:val="right"/>
              <w:rPr>
                <w:color w:val="auto"/>
                <w:sz w:val="18"/>
                <w:szCs w:val="18"/>
              </w:rPr>
            </w:pPr>
            <w:r>
              <w:rPr>
                <w:sz w:val="18"/>
                <w:szCs w:val="18"/>
              </w:rPr>
              <w:t>80.6</w:t>
            </w:r>
            <w:r w:rsidR="001030FC" w:rsidRPr="007E0530">
              <w:rPr>
                <w:sz w:val="18"/>
                <w:szCs w:val="18"/>
              </w:rPr>
              <w:t xml:space="preserve"> </w:t>
            </w:r>
          </w:p>
        </w:tc>
      </w:tr>
      <w:tr w:rsidR="001030FC" w:rsidRPr="00CD11DE" w14:paraId="600014DD" w14:textId="77777777" w:rsidTr="006F3279">
        <w:trPr>
          <w:trHeight w:val="298"/>
        </w:trPr>
        <w:tc>
          <w:tcPr>
            <w:tcW w:w="2118" w:type="pct"/>
            <w:shd w:val="clear" w:color="auto" w:fill="06B1D6" w:themeFill="accent1"/>
            <w:vAlign w:val="center"/>
            <w:hideMark/>
          </w:tcPr>
          <w:p w14:paraId="3CDA483E"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Increase in investment securities</w:t>
            </w:r>
          </w:p>
        </w:tc>
        <w:tc>
          <w:tcPr>
            <w:tcW w:w="2882" w:type="pct"/>
            <w:shd w:val="clear" w:color="auto" w:fill="auto"/>
            <w:noWrap/>
          </w:tcPr>
          <w:p w14:paraId="1D123ECE" w14:textId="164F1104" w:rsidR="001030FC" w:rsidRPr="001030FC" w:rsidRDefault="001030FC" w:rsidP="001030FC">
            <w:pPr>
              <w:keepLines w:val="0"/>
              <w:spacing w:after="0" w:line="240" w:lineRule="auto"/>
              <w:jc w:val="right"/>
              <w:rPr>
                <w:color w:val="auto"/>
                <w:sz w:val="18"/>
                <w:szCs w:val="18"/>
              </w:rPr>
            </w:pPr>
            <w:r w:rsidRPr="007E0530">
              <w:rPr>
                <w:sz w:val="18"/>
                <w:szCs w:val="18"/>
              </w:rPr>
              <w:t>0.</w:t>
            </w:r>
            <w:r w:rsidR="00DF3CA3">
              <w:rPr>
                <w:sz w:val="18"/>
                <w:szCs w:val="18"/>
              </w:rPr>
              <w:t>8</w:t>
            </w:r>
            <w:r w:rsidRPr="007E0530">
              <w:rPr>
                <w:sz w:val="18"/>
                <w:szCs w:val="18"/>
              </w:rPr>
              <w:t xml:space="preserve"> </w:t>
            </w:r>
          </w:p>
        </w:tc>
      </w:tr>
      <w:tr w:rsidR="001030FC" w:rsidRPr="00CD11DE" w14:paraId="7B65CBE8" w14:textId="77777777" w:rsidTr="006F3279">
        <w:trPr>
          <w:trHeight w:val="298"/>
        </w:trPr>
        <w:tc>
          <w:tcPr>
            <w:tcW w:w="2118" w:type="pct"/>
            <w:shd w:val="clear" w:color="auto" w:fill="06B1D6" w:themeFill="accent1"/>
            <w:vAlign w:val="center"/>
            <w:hideMark/>
          </w:tcPr>
          <w:p w14:paraId="7E2D4CAE"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Decrease in home purchase plans</w:t>
            </w:r>
          </w:p>
        </w:tc>
        <w:tc>
          <w:tcPr>
            <w:tcW w:w="2882" w:type="pct"/>
            <w:shd w:val="clear" w:color="auto" w:fill="auto"/>
            <w:noWrap/>
          </w:tcPr>
          <w:p w14:paraId="2AE3ACB8" w14:textId="7F2FE01D" w:rsidR="001030FC" w:rsidRPr="001030FC" w:rsidRDefault="001030FC" w:rsidP="001030FC">
            <w:pPr>
              <w:keepLines w:val="0"/>
              <w:spacing w:after="0" w:line="240" w:lineRule="auto"/>
              <w:jc w:val="right"/>
              <w:rPr>
                <w:sz w:val="18"/>
                <w:szCs w:val="18"/>
              </w:rPr>
            </w:pPr>
            <w:r w:rsidRPr="007E0530">
              <w:rPr>
                <w:sz w:val="18"/>
                <w:szCs w:val="18"/>
              </w:rPr>
              <w:t>(15.</w:t>
            </w:r>
            <w:r w:rsidR="00DF3CA3">
              <w:rPr>
                <w:sz w:val="18"/>
                <w:szCs w:val="18"/>
              </w:rPr>
              <w:t>9</w:t>
            </w:r>
            <w:r w:rsidRPr="007E0530">
              <w:rPr>
                <w:sz w:val="18"/>
                <w:szCs w:val="18"/>
              </w:rPr>
              <w:t>)</w:t>
            </w:r>
          </w:p>
        </w:tc>
      </w:tr>
      <w:tr w:rsidR="001030FC" w:rsidRPr="00CD11DE" w14:paraId="66BDF0E5" w14:textId="77777777" w:rsidTr="006F3279">
        <w:trPr>
          <w:trHeight w:val="298"/>
        </w:trPr>
        <w:tc>
          <w:tcPr>
            <w:tcW w:w="2118" w:type="pct"/>
            <w:shd w:val="clear" w:color="auto" w:fill="06B1D6" w:themeFill="accent1"/>
            <w:vAlign w:val="center"/>
            <w:hideMark/>
          </w:tcPr>
          <w:p w14:paraId="0B4C84E9"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Increase in commercial property finance</w:t>
            </w:r>
          </w:p>
        </w:tc>
        <w:tc>
          <w:tcPr>
            <w:tcW w:w="2882" w:type="pct"/>
            <w:shd w:val="clear" w:color="auto" w:fill="auto"/>
            <w:noWrap/>
          </w:tcPr>
          <w:p w14:paraId="11939B6A" w14:textId="78FABE9C" w:rsidR="001030FC" w:rsidRPr="001030FC" w:rsidRDefault="001030FC" w:rsidP="001030FC">
            <w:pPr>
              <w:keepLines w:val="0"/>
              <w:spacing w:after="0" w:line="240" w:lineRule="auto"/>
              <w:jc w:val="right"/>
              <w:rPr>
                <w:sz w:val="18"/>
                <w:szCs w:val="18"/>
              </w:rPr>
            </w:pPr>
            <w:r w:rsidRPr="007E0530">
              <w:rPr>
                <w:sz w:val="18"/>
                <w:szCs w:val="18"/>
              </w:rPr>
              <w:t>16</w:t>
            </w:r>
            <w:r w:rsidR="00DF3CA3">
              <w:rPr>
                <w:sz w:val="18"/>
                <w:szCs w:val="18"/>
              </w:rPr>
              <w:t>7.9</w:t>
            </w:r>
            <w:r w:rsidRPr="007E0530">
              <w:rPr>
                <w:sz w:val="18"/>
                <w:szCs w:val="18"/>
              </w:rPr>
              <w:t xml:space="preserve"> </w:t>
            </w:r>
          </w:p>
        </w:tc>
      </w:tr>
      <w:tr w:rsidR="001030FC" w:rsidRPr="00CD11DE" w14:paraId="4AE164C3" w14:textId="77777777" w:rsidTr="006F3279">
        <w:trPr>
          <w:trHeight w:val="298"/>
        </w:trPr>
        <w:tc>
          <w:tcPr>
            <w:tcW w:w="2118" w:type="pct"/>
            <w:shd w:val="clear" w:color="auto" w:fill="06B1D6" w:themeFill="accent1"/>
            <w:vAlign w:val="center"/>
            <w:hideMark/>
          </w:tcPr>
          <w:p w14:paraId="1FCF74A8"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w:t>
            </w:r>
          </w:p>
        </w:tc>
        <w:tc>
          <w:tcPr>
            <w:tcW w:w="2882" w:type="pct"/>
            <w:shd w:val="clear" w:color="auto" w:fill="auto"/>
            <w:noWrap/>
          </w:tcPr>
          <w:p w14:paraId="74BB2759" w14:textId="3AA7F2AD" w:rsidR="001030FC" w:rsidRPr="001030FC" w:rsidRDefault="00DF3CA3" w:rsidP="001030FC">
            <w:pPr>
              <w:keepLines w:val="0"/>
              <w:spacing w:after="0" w:line="240" w:lineRule="auto"/>
              <w:jc w:val="right"/>
              <w:rPr>
                <w:sz w:val="18"/>
                <w:szCs w:val="18"/>
              </w:rPr>
            </w:pPr>
            <w:r>
              <w:rPr>
                <w:sz w:val="18"/>
                <w:szCs w:val="18"/>
              </w:rPr>
              <w:t>0.2</w:t>
            </w:r>
            <w:r w:rsidR="001030FC" w:rsidRPr="007E0530">
              <w:rPr>
                <w:sz w:val="18"/>
                <w:szCs w:val="18"/>
              </w:rPr>
              <w:t xml:space="preserve"> </w:t>
            </w:r>
          </w:p>
        </w:tc>
      </w:tr>
      <w:tr w:rsidR="001030FC" w:rsidRPr="00CD11DE" w14:paraId="2580E74E" w14:textId="77777777" w:rsidTr="006F3279">
        <w:trPr>
          <w:trHeight w:val="298"/>
        </w:trPr>
        <w:tc>
          <w:tcPr>
            <w:tcW w:w="2118" w:type="pct"/>
            <w:shd w:val="clear" w:color="auto" w:fill="06B1D6" w:themeFill="accent1"/>
            <w:vAlign w:val="center"/>
          </w:tcPr>
          <w:p w14:paraId="43E3682D" w14:textId="0098F448"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2882" w:type="pct"/>
            <w:shd w:val="clear" w:color="auto" w:fill="auto"/>
            <w:noWrap/>
          </w:tcPr>
          <w:p w14:paraId="0620704D" w14:textId="500BE56F" w:rsidR="001030FC" w:rsidRPr="001030FC" w:rsidRDefault="00DF3CA3" w:rsidP="001030FC">
            <w:pPr>
              <w:keepLines w:val="0"/>
              <w:spacing w:after="0" w:line="240" w:lineRule="auto"/>
              <w:jc w:val="right"/>
              <w:rPr>
                <w:rFonts w:eastAsia="Times New Roman"/>
                <w:sz w:val="18"/>
                <w:szCs w:val="18"/>
              </w:rPr>
            </w:pPr>
            <w:r>
              <w:rPr>
                <w:sz w:val="18"/>
                <w:szCs w:val="18"/>
              </w:rPr>
              <w:t>(0.1)</w:t>
            </w:r>
            <w:r w:rsidR="001030FC" w:rsidRPr="007E0530">
              <w:rPr>
                <w:sz w:val="18"/>
                <w:szCs w:val="18"/>
              </w:rPr>
              <w:t xml:space="preserve"> </w:t>
            </w:r>
          </w:p>
        </w:tc>
      </w:tr>
      <w:tr w:rsidR="001030FC" w:rsidRPr="00CD11DE" w14:paraId="568B0638" w14:textId="77777777" w:rsidTr="006F3279">
        <w:trPr>
          <w:trHeight w:val="298"/>
        </w:trPr>
        <w:tc>
          <w:tcPr>
            <w:tcW w:w="2118" w:type="pct"/>
            <w:shd w:val="clear" w:color="auto" w:fill="06B1D6" w:themeFill="accent1"/>
            <w:vAlign w:val="center"/>
            <w:hideMark/>
          </w:tcPr>
          <w:p w14:paraId="5D36710D" w14:textId="736DA358"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Credit Risk RWAs increase for </w:t>
            </w:r>
            <w:r>
              <w:rPr>
                <w:rFonts w:eastAsia="Times New Roman"/>
                <w:b/>
                <w:bCs/>
                <w:color w:val="FFFFFF"/>
                <w:sz w:val="18"/>
                <w:szCs w:val="18"/>
              </w:rPr>
              <w:t>2024</w:t>
            </w:r>
          </w:p>
        </w:tc>
        <w:tc>
          <w:tcPr>
            <w:tcW w:w="2882" w:type="pct"/>
            <w:shd w:val="clear" w:color="auto" w:fill="auto"/>
            <w:noWrap/>
          </w:tcPr>
          <w:p w14:paraId="0C9BF823" w14:textId="06175541" w:rsidR="001030FC" w:rsidRPr="007E0530" w:rsidRDefault="001030FC" w:rsidP="001030FC">
            <w:pPr>
              <w:keepLines w:val="0"/>
              <w:spacing w:after="0" w:line="240" w:lineRule="auto"/>
              <w:jc w:val="right"/>
              <w:rPr>
                <w:b/>
                <w:bCs/>
                <w:sz w:val="18"/>
                <w:szCs w:val="18"/>
              </w:rPr>
            </w:pPr>
            <w:r w:rsidRPr="007E0530">
              <w:rPr>
                <w:b/>
                <w:bCs/>
                <w:sz w:val="18"/>
                <w:szCs w:val="18"/>
              </w:rPr>
              <w:t>2</w:t>
            </w:r>
            <w:r w:rsidR="00DF3CA3" w:rsidRPr="007E0530">
              <w:rPr>
                <w:b/>
                <w:bCs/>
                <w:sz w:val="18"/>
                <w:szCs w:val="18"/>
              </w:rPr>
              <w:t>33.5</w:t>
            </w:r>
            <w:r w:rsidRPr="007E0530">
              <w:rPr>
                <w:b/>
                <w:bCs/>
                <w:sz w:val="18"/>
                <w:szCs w:val="18"/>
              </w:rPr>
              <w:t xml:space="preserve"> </w:t>
            </w:r>
          </w:p>
        </w:tc>
      </w:tr>
    </w:tbl>
    <w:p w14:paraId="2E7A7254" w14:textId="77777777" w:rsidR="0000514A" w:rsidRPr="00CD11DE" w:rsidRDefault="0000514A" w:rsidP="0000514A"/>
    <w:p w14:paraId="591AFC50" w14:textId="31C2C88A" w:rsidR="00447366" w:rsidRPr="00CD11DE" w:rsidRDefault="00447366"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10</w:t>
      </w:r>
      <w:r w:rsidRPr="00CD11DE">
        <w:fldChar w:fldCharType="end"/>
      </w:r>
      <w:r w:rsidRPr="00CD11DE">
        <w:t xml:space="preserve">: 31 December </w:t>
      </w:r>
      <w:r w:rsidR="0023087C">
        <w:t>2024</w:t>
      </w:r>
      <w:r w:rsidRPr="00CD11DE">
        <w:t xml:space="preserve"> Exposures subject to Standardised Approach (£m)</w:t>
      </w:r>
    </w:p>
    <w:tbl>
      <w:tblPr>
        <w:tblpPr w:leftFromText="180" w:rightFromText="180" w:vertAnchor="text" w:horzAnchor="margin" w:tblpY="284"/>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409"/>
        <w:gridCol w:w="1387"/>
        <w:gridCol w:w="1134"/>
        <w:gridCol w:w="1134"/>
        <w:gridCol w:w="852"/>
        <w:gridCol w:w="1134"/>
      </w:tblGrid>
      <w:tr w:rsidR="00041BD0" w:rsidRPr="00CD11DE" w14:paraId="521799B6" w14:textId="77777777" w:rsidTr="006F3279">
        <w:trPr>
          <w:trHeight w:val="289"/>
        </w:trPr>
        <w:tc>
          <w:tcPr>
            <w:tcW w:w="1051" w:type="pct"/>
            <w:shd w:val="clear" w:color="auto" w:fill="06B1D6" w:themeFill="accent1"/>
            <w:vAlign w:val="center"/>
            <w:hideMark/>
          </w:tcPr>
          <w:p w14:paraId="5044C125" w14:textId="02C077B8" w:rsidR="0000514A" w:rsidRPr="00CD11DE" w:rsidRDefault="005511F2" w:rsidP="00B61C14">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p w14:paraId="78B28653" w14:textId="6F59CD43" w:rsidR="0000514A" w:rsidRPr="00CD11DE" w:rsidRDefault="0000514A" w:rsidP="00B61C14">
            <w:pPr>
              <w:keepLines w:val="0"/>
              <w:spacing w:after="0" w:line="240" w:lineRule="auto"/>
              <w:jc w:val="left"/>
              <w:rPr>
                <w:rFonts w:eastAsia="Times New Roman"/>
                <w:b/>
                <w:bCs/>
                <w:color w:val="FFFFFF"/>
                <w:sz w:val="18"/>
                <w:szCs w:val="18"/>
              </w:rPr>
            </w:pPr>
          </w:p>
        </w:tc>
        <w:tc>
          <w:tcPr>
            <w:tcW w:w="789" w:type="pct"/>
            <w:shd w:val="clear" w:color="auto" w:fill="06B1D6" w:themeFill="accent1"/>
            <w:vAlign w:val="center"/>
            <w:hideMark/>
          </w:tcPr>
          <w:p w14:paraId="73D80ED7"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Financing – Individuals</w:t>
            </w:r>
          </w:p>
        </w:tc>
        <w:tc>
          <w:tcPr>
            <w:tcW w:w="777" w:type="pct"/>
            <w:shd w:val="clear" w:color="auto" w:fill="06B1D6" w:themeFill="accent1"/>
            <w:vAlign w:val="center"/>
            <w:hideMark/>
          </w:tcPr>
          <w:p w14:paraId="42BE5580"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Financing - Commercial</w:t>
            </w:r>
          </w:p>
        </w:tc>
        <w:tc>
          <w:tcPr>
            <w:tcW w:w="635" w:type="pct"/>
            <w:shd w:val="clear" w:color="auto" w:fill="06B1D6" w:themeFill="accent1"/>
            <w:vAlign w:val="center"/>
            <w:hideMark/>
          </w:tcPr>
          <w:p w14:paraId="1AE2F209"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Financial</w:t>
            </w:r>
          </w:p>
        </w:tc>
        <w:tc>
          <w:tcPr>
            <w:tcW w:w="635" w:type="pct"/>
            <w:shd w:val="clear" w:color="auto" w:fill="06B1D6" w:themeFill="accent1"/>
            <w:vAlign w:val="center"/>
            <w:hideMark/>
          </w:tcPr>
          <w:p w14:paraId="0F6BF147"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Sovereign</w:t>
            </w:r>
          </w:p>
        </w:tc>
        <w:tc>
          <w:tcPr>
            <w:tcW w:w="477" w:type="pct"/>
            <w:shd w:val="clear" w:color="auto" w:fill="06B1D6" w:themeFill="accent1"/>
            <w:vAlign w:val="center"/>
            <w:hideMark/>
          </w:tcPr>
          <w:p w14:paraId="3B13F880"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Other Assets</w:t>
            </w:r>
          </w:p>
        </w:tc>
        <w:tc>
          <w:tcPr>
            <w:tcW w:w="635" w:type="pct"/>
            <w:shd w:val="clear" w:color="auto" w:fill="06B1D6" w:themeFill="accent1"/>
            <w:vAlign w:val="center"/>
            <w:hideMark/>
          </w:tcPr>
          <w:p w14:paraId="083119D3"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p>
        </w:tc>
      </w:tr>
      <w:tr w:rsidR="001030FC" w:rsidRPr="00CD11DE" w14:paraId="66831CA1" w14:textId="77777777" w:rsidTr="006F3279">
        <w:trPr>
          <w:trHeight w:val="289"/>
        </w:trPr>
        <w:tc>
          <w:tcPr>
            <w:tcW w:w="1051" w:type="pct"/>
            <w:shd w:val="clear" w:color="auto" w:fill="06B1D6" w:themeFill="accent1"/>
            <w:vAlign w:val="center"/>
            <w:hideMark/>
          </w:tcPr>
          <w:p w14:paraId="63422FB1"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w:t>
            </w:r>
          </w:p>
        </w:tc>
        <w:tc>
          <w:tcPr>
            <w:tcW w:w="789" w:type="pct"/>
            <w:shd w:val="clear" w:color="auto" w:fill="auto"/>
            <w:noWrap/>
          </w:tcPr>
          <w:p w14:paraId="7D2C93A8" w14:textId="18943059"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777" w:type="pct"/>
            <w:shd w:val="clear" w:color="auto" w:fill="auto"/>
            <w:noWrap/>
          </w:tcPr>
          <w:p w14:paraId="322985A0" w14:textId="080F947C"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7DF80CAF" w14:textId="5D45447A" w:rsidR="001030FC" w:rsidRPr="001030FC" w:rsidRDefault="00A471BC" w:rsidP="001030FC">
            <w:pPr>
              <w:keepLines w:val="0"/>
              <w:spacing w:after="0" w:line="240" w:lineRule="auto"/>
              <w:jc w:val="right"/>
              <w:rPr>
                <w:sz w:val="18"/>
                <w:szCs w:val="18"/>
              </w:rPr>
            </w:pPr>
            <w:r>
              <w:rPr>
                <w:sz w:val="18"/>
                <w:szCs w:val="18"/>
              </w:rPr>
              <w:t>443.8</w:t>
            </w:r>
          </w:p>
        </w:tc>
        <w:tc>
          <w:tcPr>
            <w:tcW w:w="635" w:type="pct"/>
            <w:shd w:val="clear" w:color="auto" w:fill="auto"/>
            <w:noWrap/>
          </w:tcPr>
          <w:p w14:paraId="300B934E" w14:textId="4560DCD4" w:rsidR="001030FC" w:rsidRPr="001030FC" w:rsidRDefault="001030FC" w:rsidP="001030FC">
            <w:pPr>
              <w:keepLines w:val="0"/>
              <w:spacing w:after="0" w:line="240" w:lineRule="auto"/>
              <w:jc w:val="right"/>
              <w:rPr>
                <w:sz w:val="18"/>
                <w:szCs w:val="18"/>
              </w:rPr>
            </w:pPr>
            <w:r w:rsidRPr="007E0530">
              <w:rPr>
                <w:sz w:val="18"/>
                <w:szCs w:val="18"/>
              </w:rPr>
              <w:t xml:space="preserve"> 95.6 </w:t>
            </w:r>
          </w:p>
        </w:tc>
        <w:tc>
          <w:tcPr>
            <w:tcW w:w="477" w:type="pct"/>
            <w:shd w:val="clear" w:color="auto" w:fill="auto"/>
            <w:noWrap/>
          </w:tcPr>
          <w:p w14:paraId="471EE962" w14:textId="3004890F"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07EC2A79" w14:textId="6DB45472" w:rsidR="001030FC" w:rsidRPr="001030FC" w:rsidRDefault="001030FC" w:rsidP="001030FC">
            <w:pPr>
              <w:keepLines w:val="0"/>
              <w:spacing w:after="0" w:line="240" w:lineRule="auto"/>
              <w:jc w:val="right"/>
              <w:rPr>
                <w:sz w:val="18"/>
                <w:szCs w:val="18"/>
              </w:rPr>
            </w:pPr>
            <w:r w:rsidRPr="007E0530">
              <w:rPr>
                <w:sz w:val="18"/>
                <w:szCs w:val="18"/>
              </w:rPr>
              <w:t xml:space="preserve"> 5</w:t>
            </w:r>
            <w:r w:rsidR="00A471BC">
              <w:rPr>
                <w:sz w:val="18"/>
                <w:szCs w:val="18"/>
              </w:rPr>
              <w:t>39.4</w:t>
            </w:r>
            <w:r w:rsidRPr="007E0530">
              <w:rPr>
                <w:sz w:val="18"/>
                <w:szCs w:val="18"/>
              </w:rPr>
              <w:t xml:space="preserve"> </w:t>
            </w:r>
          </w:p>
        </w:tc>
      </w:tr>
      <w:tr w:rsidR="001030FC" w:rsidRPr="00CD11DE" w14:paraId="03044188" w14:textId="77777777" w:rsidTr="006F3279">
        <w:trPr>
          <w:trHeight w:val="289"/>
        </w:trPr>
        <w:tc>
          <w:tcPr>
            <w:tcW w:w="1051" w:type="pct"/>
            <w:shd w:val="clear" w:color="auto" w:fill="06B1D6" w:themeFill="accent1"/>
            <w:vAlign w:val="center"/>
            <w:hideMark/>
          </w:tcPr>
          <w:p w14:paraId="73498463"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789" w:type="pct"/>
            <w:shd w:val="clear" w:color="auto" w:fill="auto"/>
            <w:noWrap/>
          </w:tcPr>
          <w:p w14:paraId="6668D10F" w14:textId="3A188503"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777" w:type="pct"/>
            <w:shd w:val="clear" w:color="auto" w:fill="auto"/>
            <w:noWrap/>
          </w:tcPr>
          <w:p w14:paraId="5E291978" w14:textId="59B397A2"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69C2F572" w14:textId="59CD0FFF"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774F02FB" w14:textId="54D5FE33" w:rsidR="001030FC" w:rsidRPr="001030FC" w:rsidRDefault="00A471BC" w:rsidP="001030FC">
            <w:pPr>
              <w:keepLines w:val="0"/>
              <w:spacing w:after="0" w:line="240" w:lineRule="auto"/>
              <w:jc w:val="right"/>
              <w:rPr>
                <w:sz w:val="18"/>
                <w:szCs w:val="18"/>
              </w:rPr>
            </w:pPr>
            <w:r w:rsidRPr="00A471BC">
              <w:rPr>
                <w:sz w:val="18"/>
                <w:szCs w:val="18"/>
              </w:rPr>
              <w:t xml:space="preserve">141.9 </w:t>
            </w:r>
          </w:p>
        </w:tc>
        <w:tc>
          <w:tcPr>
            <w:tcW w:w="477" w:type="pct"/>
            <w:shd w:val="clear" w:color="auto" w:fill="auto"/>
            <w:noWrap/>
          </w:tcPr>
          <w:p w14:paraId="2D325EF5" w14:textId="3085C7AA"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00719594" w14:textId="3DF075AD" w:rsidR="001030FC" w:rsidRPr="001030FC" w:rsidRDefault="00A471BC" w:rsidP="001030FC">
            <w:pPr>
              <w:keepLines w:val="0"/>
              <w:spacing w:after="0" w:line="240" w:lineRule="auto"/>
              <w:jc w:val="right"/>
              <w:rPr>
                <w:sz w:val="18"/>
                <w:szCs w:val="18"/>
              </w:rPr>
            </w:pPr>
            <w:r w:rsidRPr="00A471BC">
              <w:rPr>
                <w:sz w:val="18"/>
                <w:szCs w:val="18"/>
              </w:rPr>
              <w:t xml:space="preserve">141.9 </w:t>
            </w:r>
          </w:p>
        </w:tc>
      </w:tr>
      <w:tr w:rsidR="001030FC" w:rsidRPr="00CD11DE" w14:paraId="48885737" w14:textId="77777777" w:rsidTr="006F3279">
        <w:trPr>
          <w:trHeight w:val="289"/>
        </w:trPr>
        <w:tc>
          <w:tcPr>
            <w:tcW w:w="1051" w:type="pct"/>
            <w:shd w:val="clear" w:color="auto" w:fill="06B1D6" w:themeFill="accent1"/>
            <w:vAlign w:val="center"/>
            <w:hideMark/>
          </w:tcPr>
          <w:p w14:paraId="0422ED05"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789" w:type="pct"/>
            <w:shd w:val="clear" w:color="auto" w:fill="auto"/>
            <w:noWrap/>
          </w:tcPr>
          <w:p w14:paraId="4AEB7F4B" w14:textId="2CD69C39" w:rsidR="001030FC" w:rsidRPr="001030FC" w:rsidRDefault="001030FC" w:rsidP="001030FC">
            <w:pPr>
              <w:keepLines w:val="0"/>
              <w:spacing w:after="0" w:line="240" w:lineRule="auto"/>
              <w:jc w:val="right"/>
              <w:rPr>
                <w:sz w:val="18"/>
                <w:szCs w:val="18"/>
              </w:rPr>
            </w:pPr>
            <w:r w:rsidRPr="007E0530">
              <w:rPr>
                <w:sz w:val="18"/>
                <w:szCs w:val="18"/>
              </w:rPr>
              <w:t xml:space="preserve"> 933.</w:t>
            </w:r>
            <w:r w:rsidR="00A471BC">
              <w:rPr>
                <w:sz w:val="18"/>
                <w:szCs w:val="18"/>
              </w:rPr>
              <w:t>0</w:t>
            </w:r>
            <w:r w:rsidRPr="007E0530">
              <w:rPr>
                <w:sz w:val="18"/>
                <w:szCs w:val="18"/>
              </w:rPr>
              <w:t xml:space="preserve"> </w:t>
            </w:r>
          </w:p>
        </w:tc>
        <w:tc>
          <w:tcPr>
            <w:tcW w:w="777" w:type="pct"/>
            <w:shd w:val="clear" w:color="auto" w:fill="auto"/>
            <w:noWrap/>
          </w:tcPr>
          <w:p w14:paraId="477F315B" w14:textId="403403BC"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75954EC4" w14:textId="268012A6"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7BFBA5D1" w14:textId="1A582B7F"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77" w:type="pct"/>
            <w:shd w:val="clear" w:color="auto" w:fill="auto"/>
            <w:noWrap/>
          </w:tcPr>
          <w:p w14:paraId="0015436F" w14:textId="43895BA9"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4AC89A38" w14:textId="788F659C" w:rsidR="001030FC" w:rsidRPr="001030FC" w:rsidRDefault="001030FC" w:rsidP="001030FC">
            <w:pPr>
              <w:keepLines w:val="0"/>
              <w:spacing w:after="0" w:line="240" w:lineRule="auto"/>
              <w:jc w:val="right"/>
              <w:rPr>
                <w:sz w:val="18"/>
                <w:szCs w:val="18"/>
              </w:rPr>
            </w:pPr>
            <w:r w:rsidRPr="007E0530">
              <w:rPr>
                <w:sz w:val="18"/>
                <w:szCs w:val="18"/>
              </w:rPr>
              <w:t xml:space="preserve"> 933.</w:t>
            </w:r>
            <w:r w:rsidR="00A471BC">
              <w:rPr>
                <w:sz w:val="18"/>
                <w:szCs w:val="18"/>
              </w:rPr>
              <w:t>0</w:t>
            </w:r>
            <w:r w:rsidRPr="007E0530">
              <w:rPr>
                <w:sz w:val="18"/>
                <w:szCs w:val="18"/>
              </w:rPr>
              <w:t xml:space="preserve"> </w:t>
            </w:r>
          </w:p>
        </w:tc>
      </w:tr>
      <w:tr w:rsidR="001030FC" w:rsidRPr="00CD11DE" w14:paraId="4224D98B" w14:textId="77777777" w:rsidTr="006F3279">
        <w:trPr>
          <w:trHeight w:val="289"/>
        </w:trPr>
        <w:tc>
          <w:tcPr>
            <w:tcW w:w="1051" w:type="pct"/>
            <w:shd w:val="clear" w:color="auto" w:fill="06B1D6" w:themeFill="accent1"/>
            <w:vAlign w:val="center"/>
            <w:hideMark/>
          </w:tcPr>
          <w:p w14:paraId="4EB40B95"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789" w:type="pct"/>
            <w:shd w:val="clear" w:color="auto" w:fill="auto"/>
            <w:noWrap/>
          </w:tcPr>
          <w:p w14:paraId="6C2D39C7" w14:textId="303A0B82"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777" w:type="pct"/>
            <w:shd w:val="clear" w:color="auto" w:fill="auto"/>
            <w:noWrap/>
          </w:tcPr>
          <w:p w14:paraId="1E0E81A7" w14:textId="2B638CC9" w:rsidR="001030FC" w:rsidRPr="001030FC" w:rsidRDefault="001030FC" w:rsidP="001030FC">
            <w:pPr>
              <w:keepLines w:val="0"/>
              <w:spacing w:after="0" w:line="240" w:lineRule="auto"/>
              <w:jc w:val="right"/>
              <w:rPr>
                <w:sz w:val="18"/>
                <w:szCs w:val="18"/>
              </w:rPr>
            </w:pPr>
            <w:r w:rsidRPr="007E0530">
              <w:rPr>
                <w:sz w:val="18"/>
                <w:szCs w:val="18"/>
              </w:rPr>
              <w:t xml:space="preserve"> 1,185.</w:t>
            </w:r>
            <w:r w:rsidR="005C1ACD">
              <w:rPr>
                <w:sz w:val="18"/>
                <w:szCs w:val="18"/>
              </w:rPr>
              <w:t>0</w:t>
            </w:r>
            <w:r w:rsidRPr="007E0530">
              <w:rPr>
                <w:sz w:val="18"/>
                <w:szCs w:val="18"/>
              </w:rPr>
              <w:t xml:space="preserve"> </w:t>
            </w:r>
          </w:p>
        </w:tc>
        <w:tc>
          <w:tcPr>
            <w:tcW w:w="635" w:type="pct"/>
            <w:shd w:val="clear" w:color="auto" w:fill="auto"/>
            <w:noWrap/>
          </w:tcPr>
          <w:p w14:paraId="2D90AEF9" w14:textId="251CC786"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22954EFD" w14:textId="5C1F249D"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77" w:type="pct"/>
            <w:shd w:val="clear" w:color="auto" w:fill="auto"/>
            <w:noWrap/>
          </w:tcPr>
          <w:p w14:paraId="55041328" w14:textId="31CC7912"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185FB7CE" w14:textId="142CDAA1" w:rsidR="001030FC" w:rsidRPr="001030FC" w:rsidRDefault="001030FC" w:rsidP="001030FC">
            <w:pPr>
              <w:keepLines w:val="0"/>
              <w:spacing w:after="0" w:line="240" w:lineRule="auto"/>
              <w:jc w:val="right"/>
              <w:rPr>
                <w:sz w:val="18"/>
                <w:szCs w:val="18"/>
              </w:rPr>
            </w:pPr>
            <w:r w:rsidRPr="007E0530">
              <w:rPr>
                <w:sz w:val="18"/>
                <w:szCs w:val="18"/>
              </w:rPr>
              <w:t xml:space="preserve"> 1,185.</w:t>
            </w:r>
            <w:r w:rsidR="005C1ACD">
              <w:rPr>
                <w:sz w:val="18"/>
                <w:szCs w:val="18"/>
              </w:rPr>
              <w:t>0</w:t>
            </w:r>
            <w:r w:rsidRPr="007E0530">
              <w:rPr>
                <w:sz w:val="18"/>
                <w:szCs w:val="18"/>
              </w:rPr>
              <w:t xml:space="preserve"> </w:t>
            </w:r>
          </w:p>
        </w:tc>
      </w:tr>
      <w:tr w:rsidR="001030FC" w:rsidRPr="00CD11DE" w14:paraId="161A09DF" w14:textId="77777777" w:rsidTr="006F3279">
        <w:trPr>
          <w:trHeight w:val="289"/>
        </w:trPr>
        <w:tc>
          <w:tcPr>
            <w:tcW w:w="1051" w:type="pct"/>
            <w:shd w:val="clear" w:color="auto" w:fill="06B1D6" w:themeFill="accent1"/>
            <w:vAlign w:val="center"/>
            <w:hideMark/>
          </w:tcPr>
          <w:p w14:paraId="4A642A82"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 assets</w:t>
            </w:r>
          </w:p>
        </w:tc>
        <w:tc>
          <w:tcPr>
            <w:tcW w:w="789" w:type="pct"/>
            <w:shd w:val="clear" w:color="auto" w:fill="auto"/>
            <w:noWrap/>
          </w:tcPr>
          <w:p w14:paraId="7FBF8BF9" w14:textId="17CC0F55"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777" w:type="pct"/>
            <w:shd w:val="clear" w:color="auto" w:fill="auto"/>
            <w:noWrap/>
          </w:tcPr>
          <w:p w14:paraId="7269CBFC" w14:textId="0A74F63D"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5FC37E8D" w14:textId="44174B24"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69DAD8BD" w14:textId="4CAA7AC5"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77" w:type="pct"/>
            <w:shd w:val="clear" w:color="auto" w:fill="auto"/>
            <w:noWrap/>
          </w:tcPr>
          <w:p w14:paraId="0BB9AB9F" w14:textId="586F89FA" w:rsidR="001030FC" w:rsidRPr="001030FC" w:rsidRDefault="001030FC" w:rsidP="001030FC">
            <w:pPr>
              <w:keepLines w:val="0"/>
              <w:spacing w:after="0" w:line="240" w:lineRule="auto"/>
              <w:jc w:val="right"/>
              <w:rPr>
                <w:sz w:val="18"/>
                <w:szCs w:val="18"/>
              </w:rPr>
            </w:pPr>
            <w:r w:rsidRPr="007E0530">
              <w:rPr>
                <w:sz w:val="18"/>
                <w:szCs w:val="18"/>
              </w:rPr>
              <w:t xml:space="preserve"> 4</w:t>
            </w:r>
            <w:r w:rsidR="00A471BC">
              <w:rPr>
                <w:sz w:val="18"/>
                <w:szCs w:val="18"/>
              </w:rPr>
              <w:t>2.5</w:t>
            </w:r>
            <w:r w:rsidRPr="007E0530">
              <w:rPr>
                <w:sz w:val="18"/>
                <w:szCs w:val="18"/>
              </w:rPr>
              <w:t xml:space="preserve"> </w:t>
            </w:r>
          </w:p>
        </w:tc>
        <w:tc>
          <w:tcPr>
            <w:tcW w:w="635" w:type="pct"/>
            <w:shd w:val="clear" w:color="auto" w:fill="auto"/>
            <w:noWrap/>
          </w:tcPr>
          <w:p w14:paraId="6CF9A7E2" w14:textId="74AB530D" w:rsidR="001030FC" w:rsidRPr="001030FC" w:rsidRDefault="001030FC" w:rsidP="001030FC">
            <w:pPr>
              <w:keepLines w:val="0"/>
              <w:spacing w:after="0" w:line="240" w:lineRule="auto"/>
              <w:jc w:val="right"/>
              <w:rPr>
                <w:sz w:val="18"/>
                <w:szCs w:val="18"/>
              </w:rPr>
            </w:pPr>
            <w:r w:rsidRPr="007E0530">
              <w:rPr>
                <w:sz w:val="18"/>
                <w:szCs w:val="18"/>
              </w:rPr>
              <w:t xml:space="preserve"> 4</w:t>
            </w:r>
            <w:r w:rsidR="00A471BC">
              <w:rPr>
                <w:sz w:val="18"/>
                <w:szCs w:val="18"/>
              </w:rPr>
              <w:t>2.5</w:t>
            </w:r>
            <w:r w:rsidRPr="007E0530">
              <w:rPr>
                <w:sz w:val="18"/>
                <w:szCs w:val="18"/>
              </w:rPr>
              <w:t xml:space="preserve"> </w:t>
            </w:r>
          </w:p>
        </w:tc>
      </w:tr>
      <w:tr w:rsidR="001030FC" w:rsidRPr="00CD11DE" w14:paraId="7A819BEE" w14:textId="77777777" w:rsidTr="006F3279">
        <w:trPr>
          <w:trHeight w:val="289"/>
        </w:trPr>
        <w:tc>
          <w:tcPr>
            <w:tcW w:w="1051" w:type="pct"/>
            <w:shd w:val="clear" w:color="auto" w:fill="06B1D6" w:themeFill="accent1"/>
            <w:vAlign w:val="center"/>
          </w:tcPr>
          <w:p w14:paraId="6823355C"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789" w:type="pct"/>
            <w:shd w:val="clear" w:color="auto" w:fill="auto"/>
            <w:noWrap/>
          </w:tcPr>
          <w:p w14:paraId="29C30741" w14:textId="6B9E217E"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777" w:type="pct"/>
            <w:shd w:val="clear" w:color="auto" w:fill="auto"/>
            <w:noWrap/>
          </w:tcPr>
          <w:p w14:paraId="39FA139E" w14:textId="2C77BDB6"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49CF676B" w14:textId="08B5A7FE" w:rsidR="001030FC" w:rsidRPr="001030FC" w:rsidRDefault="001030FC" w:rsidP="001030FC">
            <w:pPr>
              <w:keepLines w:val="0"/>
              <w:spacing w:after="0" w:line="240" w:lineRule="auto"/>
              <w:jc w:val="right"/>
              <w:rPr>
                <w:sz w:val="18"/>
                <w:szCs w:val="18"/>
              </w:rPr>
            </w:pPr>
            <w:r w:rsidRPr="007E0530">
              <w:rPr>
                <w:sz w:val="18"/>
                <w:szCs w:val="18"/>
              </w:rPr>
              <w:t xml:space="preserve"> 6.2 </w:t>
            </w:r>
          </w:p>
        </w:tc>
        <w:tc>
          <w:tcPr>
            <w:tcW w:w="635" w:type="pct"/>
            <w:shd w:val="clear" w:color="auto" w:fill="auto"/>
            <w:noWrap/>
          </w:tcPr>
          <w:p w14:paraId="34BF579A" w14:textId="3BFA6994"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77" w:type="pct"/>
            <w:shd w:val="clear" w:color="auto" w:fill="auto"/>
            <w:noWrap/>
          </w:tcPr>
          <w:p w14:paraId="2B907FB8" w14:textId="10B13659"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635" w:type="pct"/>
            <w:shd w:val="clear" w:color="auto" w:fill="auto"/>
            <w:noWrap/>
          </w:tcPr>
          <w:p w14:paraId="61808857" w14:textId="797EB72A" w:rsidR="001030FC" w:rsidRPr="001030FC" w:rsidRDefault="001030FC" w:rsidP="001030FC">
            <w:pPr>
              <w:keepLines w:val="0"/>
              <w:spacing w:after="0" w:line="240" w:lineRule="auto"/>
              <w:jc w:val="right"/>
              <w:rPr>
                <w:sz w:val="18"/>
                <w:szCs w:val="18"/>
              </w:rPr>
            </w:pPr>
            <w:r w:rsidRPr="007E0530">
              <w:rPr>
                <w:sz w:val="18"/>
                <w:szCs w:val="18"/>
              </w:rPr>
              <w:t xml:space="preserve"> 6.2 </w:t>
            </w:r>
          </w:p>
        </w:tc>
      </w:tr>
      <w:tr w:rsidR="001030FC" w:rsidRPr="00CD11DE" w14:paraId="26156AC1" w14:textId="77777777" w:rsidTr="006F3279">
        <w:trPr>
          <w:trHeight w:val="289"/>
        </w:trPr>
        <w:tc>
          <w:tcPr>
            <w:tcW w:w="1051" w:type="pct"/>
            <w:shd w:val="clear" w:color="auto" w:fill="06B1D6" w:themeFill="accent1"/>
            <w:vAlign w:val="center"/>
            <w:hideMark/>
          </w:tcPr>
          <w:p w14:paraId="357606FE"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789" w:type="pct"/>
            <w:shd w:val="clear" w:color="auto" w:fill="auto"/>
            <w:noWrap/>
          </w:tcPr>
          <w:p w14:paraId="0BF70E27" w14:textId="48FDED10" w:rsidR="001030FC" w:rsidRPr="001030FC" w:rsidRDefault="001030FC" w:rsidP="001030FC">
            <w:pPr>
              <w:keepLines w:val="0"/>
              <w:spacing w:after="0" w:line="240" w:lineRule="auto"/>
              <w:jc w:val="right"/>
              <w:rPr>
                <w:b/>
                <w:bCs/>
                <w:sz w:val="18"/>
                <w:szCs w:val="18"/>
              </w:rPr>
            </w:pPr>
            <w:r w:rsidRPr="007E0530">
              <w:rPr>
                <w:b/>
                <w:bCs/>
                <w:sz w:val="18"/>
                <w:szCs w:val="18"/>
              </w:rPr>
              <w:t xml:space="preserve"> 933.</w:t>
            </w:r>
            <w:r w:rsidR="00A471BC">
              <w:rPr>
                <w:b/>
                <w:bCs/>
                <w:sz w:val="18"/>
                <w:szCs w:val="18"/>
              </w:rPr>
              <w:t>0</w:t>
            </w:r>
            <w:r w:rsidRPr="007E0530">
              <w:rPr>
                <w:b/>
                <w:bCs/>
                <w:sz w:val="18"/>
                <w:szCs w:val="18"/>
              </w:rPr>
              <w:t xml:space="preserve"> </w:t>
            </w:r>
          </w:p>
        </w:tc>
        <w:tc>
          <w:tcPr>
            <w:tcW w:w="777" w:type="pct"/>
            <w:shd w:val="clear" w:color="auto" w:fill="auto"/>
            <w:noWrap/>
          </w:tcPr>
          <w:p w14:paraId="1FE69369" w14:textId="4CB2783A" w:rsidR="001030FC" w:rsidRPr="001030FC" w:rsidRDefault="001030FC" w:rsidP="001030FC">
            <w:pPr>
              <w:keepLines w:val="0"/>
              <w:spacing w:after="0" w:line="240" w:lineRule="auto"/>
              <w:jc w:val="right"/>
              <w:rPr>
                <w:b/>
                <w:bCs/>
                <w:sz w:val="18"/>
                <w:szCs w:val="18"/>
              </w:rPr>
            </w:pPr>
            <w:r w:rsidRPr="007E0530">
              <w:rPr>
                <w:b/>
                <w:bCs/>
                <w:sz w:val="18"/>
                <w:szCs w:val="18"/>
              </w:rPr>
              <w:t xml:space="preserve"> 1,185.</w:t>
            </w:r>
            <w:r w:rsidR="005C1ACD">
              <w:rPr>
                <w:b/>
                <w:bCs/>
                <w:sz w:val="18"/>
                <w:szCs w:val="18"/>
              </w:rPr>
              <w:t>0</w:t>
            </w:r>
            <w:r w:rsidRPr="007E0530">
              <w:rPr>
                <w:b/>
                <w:bCs/>
                <w:sz w:val="18"/>
                <w:szCs w:val="18"/>
              </w:rPr>
              <w:t xml:space="preserve"> </w:t>
            </w:r>
          </w:p>
        </w:tc>
        <w:tc>
          <w:tcPr>
            <w:tcW w:w="635" w:type="pct"/>
            <w:shd w:val="clear" w:color="auto" w:fill="auto"/>
            <w:noWrap/>
          </w:tcPr>
          <w:p w14:paraId="6BB1E12F" w14:textId="2A53527F" w:rsidR="001030FC" w:rsidRPr="001030FC" w:rsidRDefault="001030FC" w:rsidP="001030FC">
            <w:pPr>
              <w:keepLines w:val="0"/>
              <w:spacing w:after="0" w:line="240" w:lineRule="auto"/>
              <w:jc w:val="right"/>
              <w:rPr>
                <w:b/>
                <w:bCs/>
                <w:sz w:val="18"/>
                <w:szCs w:val="18"/>
              </w:rPr>
            </w:pPr>
            <w:r w:rsidRPr="007E0530">
              <w:rPr>
                <w:b/>
                <w:bCs/>
                <w:sz w:val="18"/>
                <w:szCs w:val="18"/>
              </w:rPr>
              <w:t xml:space="preserve"> 4</w:t>
            </w:r>
            <w:r w:rsidR="00A471BC">
              <w:rPr>
                <w:b/>
                <w:bCs/>
                <w:sz w:val="18"/>
                <w:szCs w:val="18"/>
              </w:rPr>
              <w:t>50.0</w:t>
            </w:r>
            <w:r w:rsidRPr="007E0530">
              <w:rPr>
                <w:b/>
                <w:bCs/>
                <w:sz w:val="18"/>
                <w:szCs w:val="18"/>
              </w:rPr>
              <w:t xml:space="preserve"> </w:t>
            </w:r>
          </w:p>
        </w:tc>
        <w:tc>
          <w:tcPr>
            <w:tcW w:w="635" w:type="pct"/>
            <w:shd w:val="clear" w:color="auto" w:fill="auto"/>
            <w:noWrap/>
          </w:tcPr>
          <w:p w14:paraId="2218B133" w14:textId="19BB9A31" w:rsidR="001030FC" w:rsidRPr="001030FC" w:rsidRDefault="001030FC" w:rsidP="001030FC">
            <w:pPr>
              <w:keepLines w:val="0"/>
              <w:spacing w:after="0" w:line="240" w:lineRule="auto"/>
              <w:jc w:val="right"/>
              <w:rPr>
                <w:b/>
                <w:bCs/>
                <w:sz w:val="18"/>
                <w:szCs w:val="18"/>
              </w:rPr>
            </w:pPr>
            <w:r w:rsidRPr="007E0530">
              <w:rPr>
                <w:b/>
                <w:bCs/>
                <w:sz w:val="18"/>
                <w:szCs w:val="18"/>
              </w:rPr>
              <w:t xml:space="preserve"> 23</w:t>
            </w:r>
            <w:r w:rsidR="00A471BC">
              <w:rPr>
                <w:b/>
                <w:bCs/>
                <w:sz w:val="18"/>
                <w:szCs w:val="18"/>
              </w:rPr>
              <w:t>7.5</w:t>
            </w:r>
            <w:r w:rsidRPr="007E0530">
              <w:rPr>
                <w:b/>
                <w:bCs/>
                <w:sz w:val="18"/>
                <w:szCs w:val="18"/>
              </w:rPr>
              <w:t xml:space="preserve"> </w:t>
            </w:r>
          </w:p>
        </w:tc>
        <w:tc>
          <w:tcPr>
            <w:tcW w:w="477" w:type="pct"/>
            <w:shd w:val="clear" w:color="auto" w:fill="auto"/>
            <w:noWrap/>
          </w:tcPr>
          <w:p w14:paraId="2852C560" w14:textId="3A988327" w:rsidR="001030FC" w:rsidRPr="001030FC" w:rsidRDefault="001030FC" w:rsidP="001030FC">
            <w:pPr>
              <w:keepLines w:val="0"/>
              <w:spacing w:after="0" w:line="240" w:lineRule="auto"/>
              <w:jc w:val="right"/>
              <w:rPr>
                <w:b/>
                <w:bCs/>
                <w:sz w:val="18"/>
                <w:szCs w:val="18"/>
              </w:rPr>
            </w:pPr>
            <w:r w:rsidRPr="007E0530">
              <w:rPr>
                <w:b/>
                <w:bCs/>
                <w:sz w:val="18"/>
                <w:szCs w:val="18"/>
              </w:rPr>
              <w:t xml:space="preserve"> 4</w:t>
            </w:r>
            <w:r w:rsidR="00A471BC">
              <w:rPr>
                <w:b/>
                <w:bCs/>
                <w:sz w:val="18"/>
                <w:szCs w:val="18"/>
              </w:rPr>
              <w:t>2.5</w:t>
            </w:r>
            <w:r w:rsidRPr="007E0530">
              <w:rPr>
                <w:b/>
                <w:bCs/>
                <w:sz w:val="18"/>
                <w:szCs w:val="18"/>
              </w:rPr>
              <w:t xml:space="preserve"> </w:t>
            </w:r>
          </w:p>
        </w:tc>
        <w:tc>
          <w:tcPr>
            <w:tcW w:w="635" w:type="pct"/>
            <w:shd w:val="clear" w:color="auto" w:fill="auto"/>
            <w:noWrap/>
          </w:tcPr>
          <w:p w14:paraId="0A6AB12C" w14:textId="14CBFBE8" w:rsidR="001030FC" w:rsidRPr="001030FC" w:rsidRDefault="001030FC" w:rsidP="001030FC">
            <w:pPr>
              <w:keepLines w:val="0"/>
              <w:spacing w:after="0" w:line="240" w:lineRule="auto"/>
              <w:jc w:val="right"/>
              <w:rPr>
                <w:b/>
                <w:bCs/>
                <w:sz w:val="18"/>
                <w:szCs w:val="18"/>
              </w:rPr>
            </w:pPr>
            <w:r w:rsidRPr="007E0530">
              <w:rPr>
                <w:b/>
                <w:bCs/>
                <w:sz w:val="18"/>
                <w:szCs w:val="18"/>
              </w:rPr>
              <w:t xml:space="preserve"> 2,8</w:t>
            </w:r>
            <w:r w:rsidR="00A471BC">
              <w:rPr>
                <w:b/>
                <w:bCs/>
                <w:sz w:val="18"/>
                <w:szCs w:val="18"/>
              </w:rPr>
              <w:t>48.</w:t>
            </w:r>
            <w:r w:rsidR="005C1ACD">
              <w:rPr>
                <w:b/>
                <w:bCs/>
                <w:sz w:val="18"/>
                <w:szCs w:val="18"/>
              </w:rPr>
              <w:t>0</w:t>
            </w:r>
          </w:p>
        </w:tc>
      </w:tr>
    </w:tbl>
    <w:p w14:paraId="4D4D9437" w14:textId="77777777" w:rsidR="0000514A" w:rsidRPr="00CD11DE" w:rsidRDefault="0000514A" w:rsidP="0000514A">
      <w:pPr>
        <w:keepLines w:val="0"/>
        <w:spacing w:after="0" w:line="259" w:lineRule="auto"/>
        <w:jc w:val="left"/>
        <w:rPr>
          <w:b/>
          <w:sz w:val="20"/>
          <w:szCs w:val="20"/>
        </w:rPr>
      </w:pPr>
      <w:r w:rsidRPr="00CD11DE">
        <w:rPr>
          <w:b/>
          <w:sz w:val="20"/>
          <w:szCs w:val="20"/>
        </w:rPr>
        <w:br/>
      </w:r>
    </w:p>
    <w:p w14:paraId="06732B42" w14:textId="380AB7D7" w:rsidR="00D123E7" w:rsidRPr="00CD11DE" w:rsidRDefault="00D123E7"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11</w:t>
      </w:r>
      <w:r w:rsidRPr="00CD11DE">
        <w:fldChar w:fldCharType="end"/>
      </w:r>
      <w:r w:rsidRPr="00CD11DE">
        <w:t xml:space="preserve">: 31 December </w:t>
      </w:r>
      <w:r w:rsidR="0023087C">
        <w:t>2023</w:t>
      </w:r>
      <w:r w:rsidRPr="00CD11DE">
        <w:t xml:space="preserve"> Exposures subject to Standardised Approach (£m)</w:t>
      </w:r>
    </w:p>
    <w:tbl>
      <w:tblPr>
        <w:tblpPr w:leftFromText="180" w:rightFromText="180" w:vertAnchor="text" w:horzAnchor="margin" w:tblpY="-39"/>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409"/>
        <w:gridCol w:w="1387"/>
        <w:gridCol w:w="1134"/>
        <w:gridCol w:w="1159"/>
        <w:gridCol w:w="967"/>
        <w:gridCol w:w="1007"/>
      </w:tblGrid>
      <w:tr w:rsidR="00041BD0" w:rsidRPr="00CD11DE" w14:paraId="5EB261D8" w14:textId="77777777" w:rsidTr="006F3279">
        <w:trPr>
          <w:trHeight w:val="289"/>
        </w:trPr>
        <w:tc>
          <w:tcPr>
            <w:tcW w:w="1050" w:type="pct"/>
            <w:shd w:val="clear" w:color="auto" w:fill="06B1D6" w:themeFill="accent1"/>
            <w:vAlign w:val="center"/>
            <w:hideMark/>
          </w:tcPr>
          <w:p w14:paraId="2356F1B1" w14:textId="57CD5E37" w:rsidR="00D123E7" w:rsidRPr="00CD11DE" w:rsidRDefault="005511F2" w:rsidP="00B61C14">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p w14:paraId="5982D78F" w14:textId="63246605" w:rsidR="00D123E7" w:rsidRPr="00CD11DE" w:rsidRDefault="00D123E7" w:rsidP="00B61C14">
            <w:pPr>
              <w:keepLines w:val="0"/>
              <w:spacing w:after="0" w:line="240" w:lineRule="auto"/>
              <w:jc w:val="left"/>
              <w:rPr>
                <w:rFonts w:eastAsia="Times New Roman"/>
                <w:b/>
                <w:bCs/>
                <w:color w:val="FFFFFF"/>
                <w:sz w:val="18"/>
                <w:szCs w:val="18"/>
              </w:rPr>
            </w:pPr>
          </w:p>
        </w:tc>
        <w:tc>
          <w:tcPr>
            <w:tcW w:w="788" w:type="pct"/>
            <w:shd w:val="clear" w:color="auto" w:fill="06B1D6" w:themeFill="accent1"/>
            <w:vAlign w:val="center"/>
            <w:hideMark/>
          </w:tcPr>
          <w:p w14:paraId="0B947500" w14:textId="77777777" w:rsidR="00D123E7" w:rsidRPr="00CD11DE" w:rsidRDefault="00D123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Financing – Individuals</w:t>
            </w:r>
          </w:p>
        </w:tc>
        <w:tc>
          <w:tcPr>
            <w:tcW w:w="776" w:type="pct"/>
            <w:shd w:val="clear" w:color="auto" w:fill="06B1D6" w:themeFill="accent1"/>
            <w:vAlign w:val="center"/>
            <w:hideMark/>
          </w:tcPr>
          <w:p w14:paraId="595931A1" w14:textId="77777777" w:rsidR="00D123E7" w:rsidRPr="00CD11DE" w:rsidRDefault="00D123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Financing - Commercial</w:t>
            </w:r>
          </w:p>
        </w:tc>
        <w:tc>
          <w:tcPr>
            <w:tcW w:w="634" w:type="pct"/>
            <w:shd w:val="clear" w:color="auto" w:fill="06B1D6" w:themeFill="accent1"/>
            <w:vAlign w:val="center"/>
            <w:hideMark/>
          </w:tcPr>
          <w:p w14:paraId="4DD1C2E8" w14:textId="77777777" w:rsidR="00D123E7" w:rsidRPr="00CD11DE" w:rsidRDefault="00D123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Financial</w:t>
            </w:r>
          </w:p>
        </w:tc>
        <w:tc>
          <w:tcPr>
            <w:tcW w:w="648" w:type="pct"/>
            <w:shd w:val="clear" w:color="auto" w:fill="06B1D6" w:themeFill="accent1"/>
            <w:vAlign w:val="center"/>
            <w:hideMark/>
          </w:tcPr>
          <w:p w14:paraId="032F1AD2" w14:textId="77777777" w:rsidR="00D123E7" w:rsidRPr="00CD11DE" w:rsidRDefault="00D123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Sovereign</w:t>
            </w:r>
          </w:p>
        </w:tc>
        <w:tc>
          <w:tcPr>
            <w:tcW w:w="541" w:type="pct"/>
            <w:shd w:val="clear" w:color="auto" w:fill="06B1D6" w:themeFill="accent1"/>
            <w:vAlign w:val="center"/>
            <w:hideMark/>
          </w:tcPr>
          <w:p w14:paraId="4124AA47" w14:textId="77777777" w:rsidR="00D123E7" w:rsidRPr="00CD11DE" w:rsidRDefault="00D123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Other Assets</w:t>
            </w:r>
          </w:p>
        </w:tc>
        <w:tc>
          <w:tcPr>
            <w:tcW w:w="563" w:type="pct"/>
            <w:shd w:val="clear" w:color="auto" w:fill="06B1D6" w:themeFill="accent1"/>
            <w:vAlign w:val="center"/>
            <w:hideMark/>
          </w:tcPr>
          <w:p w14:paraId="36A54448" w14:textId="77777777" w:rsidR="00D123E7" w:rsidRPr="00CD11DE" w:rsidRDefault="00D123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p>
        </w:tc>
      </w:tr>
      <w:tr w:rsidR="0016685E" w:rsidRPr="00CD11DE" w14:paraId="5ED930A5" w14:textId="77777777" w:rsidTr="006F3279">
        <w:trPr>
          <w:trHeight w:val="289"/>
        </w:trPr>
        <w:tc>
          <w:tcPr>
            <w:tcW w:w="1050" w:type="pct"/>
            <w:shd w:val="clear" w:color="auto" w:fill="06B1D6" w:themeFill="accent1"/>
            <w:vAlign w:val="center"/>
            <w:hideMark/>
          </w:tcPr>
          <w:p w14:paraId="19EC3A97"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w:t>
            </w:r>
          </w:p>
        </w:tc>
        <w:tc>
          <w:tcPr>
            <w:tcW w:w="788" w:type="pct"/>
            <w:shd w:val="clear" w:color="auto" w:fill="auto"/>
            <w:noWrap/>
            <w:vAlign w:val="center"/>
            <w:hideMark/>
          </w:tcPr>
          <w:p w14:paraId="169072EC" w14:textId="0E3B8228" w:rsidR="0016685E" w:rsidRPr="00CD11DE" w:rsidRDefault="0016685E" w:rsidP="0016685E">
            <w:pPr>
              <w:keepLines w:val="0"/>
              <w:spacing w:after="0" w:line="240" w:lineRule="auto"/>
              <w:jc w:val="right"/>
              <w:rPr>
                <w:sz w:val="18"/>
                <w:szCs w:val="18"/>
              </w:rPr>
            </w:pPr>
            <w:r w:rsidRPr="00CD11DE">
              <w:rPr>
                <w:sz w:val="18"/>
                <w:szCs w:val="18"/>
              </w:rPr>
              <w:t>-</w:t>
            </w:r>
          </w:p>
        </w:tc>
        <w:tc>
          <w:tcPr>
            <w:tcW w:w="776" w:type="pct"/>
            <w:shd w:val="clear" w:color="auto" w:fill="auto"/>
            <w:noWrap/>
            <w:vAlign w:val="center"/>
            <w:hideMark/>
          </w:tcPr>
          <w:p w14:paraId="3E9586D3" w14:textId="1BFD0436" w:rsidR="0016685E" w:rsidRPr="00CD11DE" w:rsidRDefault="0016685E" w:rsidP="0016685E">
            <w:pPr>
              <w:keepLines w:val="0"/>
              <w:spacing w:after="0" w:line="240" w:lineRule="auto"/>
              <w:jc w:val="right"/>
              <w:rPr>
                <w:sz w:val="18"/>
                <w:szCs w:val="18"/>
              </w:rPr>
            </w:pPr>
            <w:r w:rsidRPr="00CD11DE">
              <w:rPr>
                <w:sz w:val="18"/>
                <w:szCs w:val="18"/>
              </w:rPr>
              <w:t>-</w:t>
            </w:r>
          </w:p>
        </w:tc>
        <w:tc>
          <w:tcPr>
            <w:tcW w:w="634" w:type="pct"/>
            <w:shd w:val="clear" w:color="auto" w:fill="auto"/>
            <w:noWrap/>
            <w:vAlign w:val="center"/>
            <w:hideMark/>
          </w:tcPr>
          <w:p w14:paraId="0962243F" w14:textId="549750A0" w:rsidR="0016685E" w:rsidRPr="00CD11DE" w:rsidRDefault="0016685E" w:rsidP="0016685E">
            <w:pPr>
              <w:keepLines w:val="0"/>
              <w:spacing w:after="0" w:line="240" w:lineRule="auto"/>
              <w:jc w:val="right"/>
              <w:rPr>
                <w:sz w:val="18"/>
                <w:szCs w:val="18"/>
              </w:rPr>
            </w:pPr>
            <w:r w:rsidRPr="00CD11DE">
              <w:rPr>
                <w:sz w:val="18"/>
                <w:szCs w:val="18"/>
              </w:rPr>
              <w:t>297.6</w:t>
            </w:r>
          </w:p>
        </w:tc>
        <w:tc>
          <w:tcPr>
            <w:tcW w:w="648" w:type="pct"/>
            <w:shd w:val="clear" w:color="auto" w:fill="auto"/>
            <w:noWrap/>
            <w:vAlign w:val="center"/>
            <w:hideMark/>
          </w:tcPr>
          <w:p w14:paraId="15154554" w14:textId="4BFCEF21" w:rsidR="0016685E" w:rsidRPr="00CD11DE" w:rsidRDefault="0016685E" w:rsidP="0016685E">
            <w:pPr>
              <w:keepLines w:val="0"/>
              <w:spacing w:after="0" w:line="240" w:lineRule="auto"/>
              <w:jc w:val="right"/>
              <w:rPr>
                <w:sz w:val="18"/>
                <w:szCs w:val="18"/>
              </w:rPr>
            </w:pPr>
            <w:r w:rsidRPr="00CD11DE">
              <w:rPr>
                <w:sz w:val="18"/>
                <w:szCs w:val="18"/>
              </w:rPr>
              <w:t>104.0</w:t>
            </w:r>
          </w:p>
        </w:tc>
        <w:tc>
          <w:tcPr>
            <w:tcW w:w="541" w:type="pct"/>
            <w:shd w:val="clear" w:color="auto" w:fill="auto"/>
            <w:noWrap/>
            <w:vAlign w:val="center"/>
            <w:hideMark/>
          </w:tcPr>
          <w:p w14:paraId="6C116315" w14:textId="416E9922" w:rsidR="0016685E" w:rsidRPr="00CD11DE" w:rsidRDefault="0016685E" w:rsidP="0016685E">
            <w:pPr>
              <w:keepLines w:val="0"/>
              <w:spacing w:after="0" w:line="240" w:lineRule="auto"/>
              <w:jc w:val="right"/>
              <w:rPr>
                <w:sz w:val="18"/>
                <w:szCs w:val="18"/>
              </w:rPr>
            </w:pPr>
            <w:r w:rsidRPr="00CD11DE">
              <w:rPr>
                <w:sz w:val="18"/>
                <w:szCs w:val="18"/>
              </w:rPr>
              <w:t>-</w:t>
            </w:r>
          </w:p>
        </w:tc>
        <w:tc>
          <w:tcPr>
            <w:tcW w:w="563" w:type="pct"/>
            <w:shd w:val="clear" w:color="auto" w:fill="auto"/>
            <w:noWrap/>
            <w:vAlign w:val="center"/>
            <w:hideMark/>
          </w:tcPr>
          <w:p w14:paraId="721305FA" w14:textId="4AF58684" w:rsidR="0016685E" w:rsidRPr="00CD11DE" w:rsidRDefault="0016685E" w:rsidP="0016685E">
            <w:pPr>
              <w:keepLines w:val="0"/>
              <w:spacing w:after="0" w:line="240" w:lineRule="auto"/>
              <w:jc w:val="right"/>
              <w:rPr>
                <w:b/>
                <w:bCs/>
                <w:sz w:val="18"/>
                <w:szCs w:val="18"/>
              </w:rPr>
            </w:pPr>
            <w:r w:rsidRPr="00CD11DE">
              <w:rPr>
                <w:sz w:val="18"/>
                <w:szCs w:val="18"/>
              </w:rPr>
              <w:t>401.6</w:t>
            </w:r>
          </w:p>
        </w:tc>
      </w:tr>
      <w:tr w:rsidR="0016685E" w:rsidRPr="00CD11DE" w14:paraId="35AA31A1" w14:textId="77777777" w:rsidTr="006F3279">
        <w:trPr>
          <w:trHeight w:val="289"/>
        </w:trPr>
        <w:tc>
          <w:tcPr>
            <w:tcW w:w="1050" w:type="pct"/>
            <w:shd w:val="clear" w:color="auto" w:fill="06B1D6" w:themeFill="accent1"/>
            <w:vAlign w:val="center"/>
            <w:hideMark/>
          </w:tcPr>
          <w:p w14:paraId="4D2C0847"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788" w:type="pct"/>
            <w:shd w:val="clear" w:color="auto" w:fill="auto"/>
            <w:noWrap/>
            <w:vAlign w:val="center"/>
            <w:hideMark/>
          </w:tcPr>
          <w:p w14:paraId="2D465992" w14:textId="483655A3" w:rsidR="0016685E" w:rsidRPr="00CD11DE" w:rsidRDefault="0016685E" w:rsidP="0016685E">
            <w:pPr>
              <w:keepLines w:val="0"/>
              <w:spacing w:after="0" w:line="240" w:lineRule="auto"/>
              <w:jc w:val="right"/>
              <w:rPr>
                <w:sz w:val="18"/>
                <w:szCs w:val="18"/>
              </w:rPr>
            </w:pPr>
            <w:r w:rsidRPr="00CD11DE">
              <w:rPr>
                <w:sz w:val="18"/>
                <w:szCs w:val="18"/>
              </w:rPr>
              <w:t>-</w:t>
            </w:r>
          </w:p>
        </w:tc>
        <w:tc>
          <w:tcPr>
            <w:tcW w:w="776" w:type="pct"/>
            <w:shd w:val="clear" w:color="auto" w:fill="auto"/>
            <w:noWrap/>
            <w:vAlign w:val="center"/>
            <w:hideMark/>
          </w:tcPr>
          <w:p w14:paraId="7EE6FE57" w14:textId="67802654" w:rsidR="0016685E" w:rsidRPr="00CD11DE" w:rsidRDefault="0016685E" w:rsidP="0016685E">
            <w:pPr>
              <w:keepLines w:val="0"/>
              <w:spacing w:after="0" w:line="240" w:lineRule="auto"/>
              <w:jc w:val="right"/>
              <w:rPr>
                <w:sz w:val="18"/>
                <w:szCs w:val="18"/>
              </w:rPr>
            </w:pPr>
            <w:r w:rsidRPr="00CD11DE">
              <w:rPr>
                <w:sz w:val="18"/>
                <w:szCs w:val="18"/>
              </w:rPr>
              <w:t>-</w:t>
            </w:r>
          </w:p>
        </w:tc>
        <w:tc>
          <w:tcPr>
            <w:tcW w:w="634" w:type="pct"/>
            <w:shd w:val="clear" w:color="auto" w:fill="auto"/>
            <w:noWrap/>
            <w:vAlign w:val="center"/>
            <w:hideMark/>
          </w:tcPr>
          <w:p w14:paraId="7EB85AAB" w14:textId="3A4B55BC" w:rsidR="0016685E" w:rsidRPr="00CD11DE" w:rsidRDefault="0016685E" w:rsidP="0016685E">
            <w:pPr>
              <w:keepLines w:val="0"/>
              <w:spacing w:after="0" w:line="240" w:lineRule="auto"/>
              <w:jc w:val="right"/>
              <w:rPr>
                <w:sz w:val="18"/>
                <w:szCs w:val="18"/>
              </w:rPr>
            </w:pPr>
            <w:r w:rsidRPr="00CD11DE">
              <w:rPr>
                <w:sz w:val="18"/>
                <w:szCs w:val="18"/>
              </w:rPr>
              <w:t>-</w:t>
            </w:r>
          </w:p>
        </w:tc>
        <w:tc>
          <w:tcPr>
            <w:tcW w:w="648" w:type="pct"/>
            <w:shd w:val="clear" w:color="auto" w:fill="auto"/>
            <w:noWrap/>
            <w:vAlign w:val="center"/>
            <w:hideMark/>
          </w:tcPr>
          <w:p w14:paraId="017B571F" w14:textId="7724D261" w:rsidR="0016685E" w:rsidRPr="00CD11DE" w:rsidRDefault="0016685E" w:rsidP="0016685E">
            <w:pPr>
              <w:keepLines w:val="0"/>
              <w:spacing w:after="0" w:line="240" w:lineRule="auto"/>
              <w:jc w:val="right"/>
              <w:rPr>
                <w:sz w:val="18"/>
                <w:szCs w:val="18"/>
              </w:rPr>
            </w:pPr>
            <w:r w:rsidRPr="00CD11DE">
              <w:rPr>
                <w:sz w:val="18"/>
                <w:szCs w:val="18"/>
              </w:rPr>
              <w:t>148.7</w:t>
            </w:r>
          </w:p>
        </w:tc>
        <w:tc>
          <w:tcPr>
            <w:tcW w:w="541" w:type="pct"/>
            <w:shd w:val="clear" w:color="auto" w:fill="auto"/>
            <w:noWrap/>
            <w:vAlign w:val="center"/>
            <w:hideMark/>
          </w:tcPr>
          <w:p w14:paraId="73CA039F" w14:textId="5AA7BF35" w:rsidR="0016685E" w:rsidRPr="00CD11DE" w:rsidRDefault="0016685E" w:rsidP="0016685E">
            <w:pPr>
              <w:keepLines w:val="0"/>
              <w:spacing w:after="0" w:line="240" w:lineRule="auto"/>
              <w:jc w:val="right"/>
              <w:rPr>
                <w:sz w:val="18"/>
                <w:szCs w:val="18"/>
              </w:rPr>
            </w:pPr>
            <w:r w:rsidRPr="00CD11DE">
              <w:rPr>
                <w:sz w:val="18"/>
                <w:szCs w:val="18"/>
              </w:rPr>
              <w:t>-</w:t>
            </w:r>
          </w:p>
        </w:tc>
        <w:tc>
          <w:tcPr>
            <w:tcW w:w="563" w:type="pct"/>
            <w:shd w:val="clear" w:color="auto" w:fill="auto"/>
            <w:noWrap/>
            <w:vAlign w:val="center"/>
            <w:hideMark/>
          </w:tcPr>
          <w:p w14:paraId="27F9CFEB" w14:textId="705F4AB7" w:rsidR="0016685E" w:rsidRPr="00CD11DE" w:rsidRDefault="0016685E" w:rsidP="0016685E">
            <w:pPr>
              <w:keepLines w:val="0"/>
              <w:spacing w:after="0" w:line="240" w:lineRule="auto"/>
              <w:jc w:val="right"/>
              <w:rPr>
                <w:b/>
                <w:bCs/>
                <w:sz w:val="18"/>
                <w:szCs w:val="18"/>
              </w:rPr>
            </w:pPr>
            <w:r w:rsidRPr="00CD11DE">
              <w:rPr>
                <w:sz w:val="18"/>
                <w:szCs w:val="18"/>
              </w:rPr>
              <w:t>148.7</w:t>
            </w:r>
          </w:p>
        </w:tc>
      </w:tr>
      <w:tr w:rsidR="0016685E" w:rsidRPr="00CD11DE" w14:paraId="01C0ECCE" w14:textId="77777777" w:rsidTr="006F3279">
        <w:trPr>
          <w:trHeight w:val="289"/>
        </w:trPr>
        <w:tc>
          <w:tcPr>
            <w:tcW w:w="1050" w:type="pct"/>
            <w:shd w:val="clear" w:color="auto" w:fill="06B1D6" w:themeFill="accent1"/>
            <w:vAlign w:val="center"/>
            <w:hideMark/>
          </w:tcPr>
          <w:p w14:paraId="5D3EBD5C"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788" w:type="pct"/>
            <w:shd w:val="clear" w:color="auto" w:fill="auto"/>
            <w:noWrap/>
            <w:vAlign w:val="center"/>
            <w:hideMark/>
          </w:tcPr>
          <w:p w14:paraId="4AF36463" w14:textId="12C22EFE" w:rsidR="0016685E" w:rsidRPr="00CD11DE" w:rsidRDefault="0016685E" w:rsidP="0016685E">
            <w:pPr>
              <w:keepLines w:val="0"/>
              <w:spacing w:after="0" w:line="240" w:lineRule="auto"/>
              <w:jc w:val="right"/>
              <w:rPr>
                <w:sz w:val="18"/>
                <w:szCs w:val="18"/>
              </w:rPr>
            </w:pPr>
            <w:r w:rsidRPr="00CD11DE">
              <w:rPr>
                <w:sz w:val="18"/>
                <w:szCs w:val="18"/>
              </w:rPr>
              <w:t>993.1</w:t>
            </w:r>
          </w:p>
        </w:tc>
        <w:tc>
          <w:tcPr>
            <w:tcW w:w="776" w:type="pct"/>
            <w:shd w:val="clear" w:color="auto" w:fill="auto"/>
            <w:noWrap/>
            <w:vAlign w:val="center"/>
            <w:hideMark/>
          </w:tcPr>
          <w:p w14:paraId="765F0E5E" w14:textId="3E9177F4" w:rsidR="0016685E" w:rsidRPr="00CD11DE" w:rsidRDefault="0016685E" w:rsidP="0016685E">
            <w:pPr>
              <w:keepLines w:val="0"/>
              <w:spacing w:after="0" w:line="240" w:lineRule="auto"/>
              <w:jc w:val="right"/>
              <w:rPr>
                <w:sz w:val="18"/>
                <w:szCs w:val="18"/>
              </w:rPr>
            </w:pPr>
            <w:r w:rsidRPr="00CD11DE">
              <w:rPr>
                <w:sz w:val="18"/>
                <w:szCs w:val="18"/>
              </w:rPr>
              <w:t>-</w:t>
            </w:r>
          </w:p>
        </w:tc>
        <w:tc>
          <w:tcPr>
            <w:tcW w:w="634" w:type="pct"/>
            <w:shd w:val="clear" w:color="auto" w:fill="auto"/>
            <w:noWrap/>
            <w:vAlign w:val="center"/>
            <w:hideMark/>
          </w:tcPr>
          <w:p w14:paraId="37B71546" w14:textId="6DB38F86" w:rsidR="0016685E" w:rsidRPr="00CD11DE" w:rsidRDefault="0016685E" w:rsidP="0016685E">
            <w:pPr>
              <w:keepLines w:val="0"/>
              <w:spacing w:after="0" w:line="240" w:lineRule="auto"/>
              <w:jc w:val="right"/>
              <w:rPr>
                <w:sz w:val="18"/>
                <w:szCs w:val="18"/>
              </w:rPr>
            </w:pPr>
            <w:r w:rsidRPr="00CD11DE">
              <w:rPr>
                <w:sz w:val="18"/>
                <w:szCs w:val="18"/>
              </w:rPr>
              <w:t>-</w:t>
            </w:r>
          </w:p>
        </w:tc>
        <w:tc>
          <w:tcPr>
            <w:tcW w:w="648" w:type="pct"/>
            <w:shd w:val="clear" w:color="auto" w:fill="auto"/>
            <w:noWrap/>
            <w:vAlign w:val="center"/>
            <w:hideMark/>
          </w:tcPr>
          <w:p w14:paraId="05B7F247" w14:textId="1C95F740" w:rsidR="0016685E" w:rsidRPr="00CD11DE" w:rsidRDefault="0016685E" w:rsidP="0016685E">
            <w:pPr>
              <w:keepLines w:val="0"/>
              <w:spacing w:after="0" w:line="240" w:lineRule="auto"/>
              <w:jc w:val="right"/>
              <w:rPr>
                <w:sz w:val="18"/>
                <w:szCs w:val="18"/>
              </w:rPr>
            </w:pPr>
            <w:r w:rsidRPr="00CD11DE">
              <w:rPr>
                <w:sz w:val="18"/>
                <w:szCs w:val="18"/>
              </w:rPr>
              <w:t>-</w:t>
            </w:r>
          </w:p>
        </w:tc>
        <w:tc>
          <w:tcPr>
            <w:tcW w:w="541" w:type="pct"/>
            <w:shd w:val="clear" w:color="auto" w:fill="auto"/>
            <w:noWrap/>
            <w:vAlign w:val="center"/>
            <w:hideMark/>
          </w:tcPr>
          <w:p w14:paraId="7CD64B15" w14:textId="403B178F" w:rsidR="0016685E" w:rsidRPr="00CD11DE" w:rsidRDefault="0016685E" w:rsidP="0016685E">
            <w:pPr>
              <w:keepLines w:val="0"/>
              <w:spacing w:after="0" w:line="240" w:lineRule="auto"/>
              <w:jc w:val="right"/>
              <w:rPr>
                <w:sz w:val="18"/>
                <w:szCs w:val="18"/>
              </w:rPr>
            </w:pPr>
            <w:r w:rsidRPr="00CD11DE">
              <w:rPr>
                <w:sz w:val="18"/>
                <w:szCs w:val="18"/>
              </w:rPr>
              <w:t>-</w:t>
            </w:r>
          </w:p>
        </w:tc>
        <w:tc>
          <w:tcPr>
            <w:tcW w:w="563" w:type="pct"/>
            <w:shd w:val="clear" w:color="auto" w:fill="auto"/>
            <w:noWrap/>
            <w:vAlign w:val="center"/>
            <w:hideMark/>
          </w:tcPr>
          <w:p w14:paraId="440B54CC" w14:textId="3603A377" w:rsidR="0016685E" w:rsidRPr="00CD11DE" w:rsidRDefault="0016685E" w:rsidP="0016685E">
            <w:pPr>
              <w:keepLines w:val="0"/>
              <w:spacing w:after="0" w:line="240" w:lineRule="auto"/>
              <w:jc w:val="right"/>
              <w:rPr>
                <w:b/>
                <w:bCs/>
                <w:sz w:val="18"/>
                <w:szCs w:val="18"/>
              </w:rPr>
            </w:pPr>
            <w:r w:rsidRPr="00CD11DE">
              <w:rPr>
                <w:sz w:val="18"/>
                <w:szCs w:val="18"/>
              </w:rPr>
              <w:t>993.1</w:t>
            </w:r>
          </w:p>
        </w:tc>
      </w:tr>
      <w:tr w:rsidR="0016685E" w:rsidRPr="00CD11DE" w14:paraId="7EB63D03" w14:textId="77777777" w:rsidTr="006F3279">
        <w:trPr>
          <w:trHeight w:val="289"/>
        </w:trPr>
        <w:tc>
          <w:tcPr>
            <w:tcW w:w="1050" w:type="pct"/>
            <w:shd w:val="clear" w:color="auto" w:fill="06B1D6" w:themeFill="accent1"/>
            <w:vAlign w:val="center"/>
            <w:hideMark/>
          </w:tcPr>
          <w:p w14:paraId="61495461"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788" w:type="pct"/>
            <w:shd w:val="clear" w:color="auto" w:fill="auto"/>
            <w:noWrap/>
            <w:vAlign w:val="center"/>
            <w:hideMark/>
          </w:tcPr>
          <w:p w14:paraId="5536FA43" w14:textId="44A2CFE4" w:rsidR="0016685E" w:rsidRPr="00CD11DE" w:rsidRDefault="0016685E" w:rsidP="0016685E">
            <w:pPr>
              <w:keepLines w:val="0"/>
              <w:spacing w:after="0" w:line="240" w:lineRule="auto"/>
              <w:jc w:val="right"/>
              <w:rPr>
                <w:sz w:val="18"/>
                <w:szCs w:val="18"/>
              </w:rPr>
            </w:pPr>
            <w:r w:rsidRPr="00CD11DE">
              <w:rPr>
                <w:sz w:val="18"/>
                <w:szCs w:val="18"/>
              </w:rPr>
              <w:t>-</w:t>
            </w:r>
          </w:p>
        </w:tc>
        <w:tc>
          <w:tcPr>
            <w:tcW w:w="776" w:type="pct"/>
            <w:shd w:val="clear" w:color="auto" w:fill="auto"/>
            <w:noWrap/>
            <w:vAlign w:val="center"/>
            <w:hideMark/>
          </w:tcPr>
          <w:p w14:paraId="392BB1D5" w14:textId="350E387E" w:rsidR="0016685E" w:rsidRPr="00CD11DE" w:rsidRDefault="0016685E" w:rsidP="0016685E">
            <w:pPr>
              <w:keepLines w:val="0"/>
              <w:spacing w:after="0" w:line="240" w:lineRule="auto"/>
              <w:jc w:val="right"/>
              <w:rPr>
                <w:sz w:val="18"/>
                <w:szCs w:val="18"/>
              </w:rPr>
            </w:pPr>
            <w:r w:rsidRPr="00CD11DE">
              <w:rPr>
                <w:sz w:val="18"/>
                <w:szCs w:val="18"/>
              </w:rPr>
              <w:t>900.0</w:t>
            </w:r>
          </w:p>
        </w:tc>
        <w:tc>
          <w:tcPr>
            <w:tcW w:w="634" w:type="pct"/>
            <w:shd w:val="clear" w:color="auto" w:fill="auto"/>
            <w:noWrap/>
            <w:vAlign w:val="center"/>
            <w:hideMark/>
          </w:tcPr>
          <w:p w14:paraId="5C521BE2" w14:textId="7D9A0B5E" w:rsidR="0016685E" w:rsidRPr="00CD11DE" w:rsidRDefault="0016685E" w:rsidP="0016685E">
            <w:pPr>
              <w:keepLines w:val="0"/>
              <w:spacing w:after="0" w:line="240" w:lineRule="auto"/>
              <w:jc w:val="right"/>
              <w:rPr>
                <w:sz w:val="18"/>
                <w:szCs w:val="18"/>
              </w:rPr>
            </w:pPr>
            <w:r w:rsidRPr="00CD11DE">
              <w:rPr>
                <w:sz w:val="18"/>
                <w:szCs w:val="18"/>
              </w:rPr>
              <w:t>-</w:t>
            </w:r>
          </w:p>
        </w:tc>
        <w:tc>
          <w:tcPr>
            <w:tcW w:w="648" w:type="pct"/>
            <w:shd w:val="clear" w:color="auto" w:fill="auto"/>
            <w:noWrap/>
            <w:vAlign w:val="center"/>
            <w:hideMark/>
          </w:tcPr>
          <w:p w14:paraId="55048F55" w14:textId="19B30DEF" w:rsidR="0016685E" w:rsidRPr="00CD11DE" w:rsidRDefault="0016685E" w:rsidP="0016685E">
            <w:pPr>
              <w:keepLines w:val="0"/>
              <w:spacing w:after="0" w:line="240" w:lineRule="auto"/>
              <w:jc w:val="right"/>
              <w:rPr>
                <w:sz w:val="18"/>
                <w:szCs w:val="18"/>
              </w:rPr>
            </w:pPr>
            <w:r w:rsidRPr="00CD11DE">
              <w:rPr>
                <w:sz w:val="18"/>
                <w:szCs w:val="18"/>
              </w:rPr>
              <w:t>-</w:t>
            </w:r>
          </w:p>
        </w:tc>
        <w:tc>
          <w:tcPr>
            <w:tcW w:w="541" w:type="pct"/>
            <w:shd w:val="clear" w:color="auto" w:fill="auto"/>
            <w:noWrap/>
            <w:vAlign w:val="center"/>
            <w:hideMark/>
          </w:tcPr>
          <w:p w14:paraId="2AFB8EBD" w14:textId="052A5C2D" w:rsidR="0016685E" w:rsidRPr="00CD11DE" w:rsidRDefault="0016685E" w:rsidP="0016685E">
            <w:pPr>
              <w:keepLines w:val="0"/>
              <w:spacing w:after="0" w:line="240" w:lineRule="auto"/>
              <w:jc w:val="right"/>
              <w:rPr>
                <w:sz w:val="18"/>
                <w:szCs w:val="18"/>
              </w:rPr>
            </w:pPr>
            <w:r w:rsidRPr="00CD11DE">
              <w:rPr>
                <w:sz w:val="18"/>
                <w:szCs w:val="18"/>
              </w:rPr>
              <w:t>-</w:t>
            </w:r>
          </w:p>
        </w:tc>
        <w:tc>
          <w:tcPr>
            <w:tcW w:w="563" w:type="pct"/>
            <w:shd w:val="clear" w:color="auto" w:fill="auto"/>
            <w:noWrap/>
            <w:vAlign w:val="center"/>
            <w:hideMark/>
          </w:tcPr>
          <w:p w14:paraId="0F9FC0DB" w14:textId="451ECF5D" w:rsidR="0016685E" w:rsidRPr="00CD11DE" w:rsidRDefault="0016685E" w:rsidP="0016685E">
            <w:pPr>
              <w:keepLines w:val="0"/>
              <w:spacing w:after="0" w:line="240" w:lineRule="auto"/>
              <w:jc w:val="right"/>
              <w:rPr>
                <w:b/>
                <w:bCs/>
                <w:sz w:val="18"/>
                <w:szCs w:val="18"/>
              </w:rPr>
            </w:pPr>
            <w:r w:rsidRPr="00CD11DE">
              <w:rPr>
                <w:sz w:val="18"/>
                <w:szCs w:val="18"/>
              </w:rPr>
              <w:t>900.0</w:t>
            </w:r>
          </w:p>
        </w:tc>
      </w:tr>
      <w:tr w:rsidR="0016685E" w:rsidRPr="00CD11DE" w14:paraId="5992097B" w14:textId="77777777" w:rsidTr="006F3279">
        <w:trPr>
          <w:trHeight w:val="289"/>
        </w:trPr>
        <w:tc>
          <w:tcPr>
            <w:tcW w:w="1050" w:type="pct"/>
            <w:shd w:val="clear" w:color="auto" w:fill="06B1D6" w:themeFill="accent1"/>
            <w:vAlign w:val="center"/>
            <w:hideMark/>
          </w:tcPr>
          <w:p w14:paraId="304FA9C8"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 assets</w:t>
            </w:r>
          </w:p>
        </w:tc>
        <w:tc>
          <w:tcPr>
            <w:tcW w:w="788" w:type="pct"/>
            <w:shd w:val="clear" w:color="auto" w:fill="auto"/>
            <w:noWrap/>
            <w:vAlign w:val="center"/>
            <w:hideMark/>
          </w:tcPr>
          <w:p w14:paraId="7B3123B6" w14:textId="4A05F249" w:rsidR="0016685E" w:rsidRPr="00CD11DE" w:rsidRDefault="0016685E" w:rsidP="0016685E">
            <w:pPr>
              <w:keepLines w:val="0"/>
              <w:spacing w:after="0" w:line="240" w:lineRule="auto"/>
              <w:jc w:val="right"/>
              <w:rPr>
                <w:sz w:val="18"/>
                <w:szCs w:val="18"/>
              </w:rPr>
            </w:pPr>
            <w:r w:rsidRPr="00CD11DE">
              <w:rPr>
                <w:sz w:val="18"/>
                <w:szCs w:val="18"/>
              </w:rPr>
              <w:t>-</w:t>
            </w:r>
          </w:p>
        </w:tc>
        <w:tc>
          <w:tcPr>
            <w:tcW w:w="776" w:type="pct"/>
            <w:shd w:val="clear" w:color="auto" w:fill="auto"/>
            <w:noWrap/>
            <w:vAlign w:val="center"/>
            <w:hideMark/>
          </w:tcPr>
          <w:p w14:paraId="2733F6F4" w14:textId="612CA9A4" w:rsidR="0016685E" w:rsidRPr="00CD11DE" w:rsidRDefault="0016685E" w:rsidP="0016685E">
            <w:pPr>
              <w:keepLines w:val="0"/>
              <w:spacing w:after="0" w:line="240" w:lineRule="auto"/>
              <w:jc w:val="right"/>
              <w:rPr>
                <w:sz w:val="18"/>
                <w:szCs w:val="18"/>
              </w:rPr>
            </w:pPr>
            <w:r w:rsidRPr="00CD11DE">
              <w:rPr>
                <w:sz w:val="18"/>
                <w:szCs w:val="18"/>
              </w:rPr>
              <w:t>-</w:t>
            </w:r>
          </w:p>
        </w:tc>
        <w:tc>
          <w:tcPr>
            <w:tcW w:w="634" w:type="pct"/>
            <w:shd w:val="clear" w:color="auto" w:fill="auto"/>
            <w:noWrap/>
            <w:vAlign w:val="center"/>
            <w:hideMark/>
          </w:tcPr>
          <w:p w14:paraId="0F95AF9B" w14:textId="0974F197" w:rsidR="0016685E" w:rsidRPr="00CD11DE" w:rsidRDefault="0016685E" w:rsidP="0016685E">
            <w:pPr>
              <w:keepLines w:val="0"/>
              <w:spacing w:after="0" w:line="240" w:lineRule="auto"/>
              <w:jc w:val="right"/>
              <w:rPr>
                <w:sz w:val="18"/>
                <w:szCs w:val="18"/>
              </w:rPr>
            </w:pPr>
            <w:r w:rsidRPr="00CD11DE">
              <w:rPr>
                <w:sz w:val="18"/>
                <w:szCs w:val="18"/>
              </w:rPr>
              <w:t>-</w:t>
            </w:r>
          </w:p>
        </w:tc>
        <w:tc>
          <w:tcPr>
            <w:tcW w:w="648" w:type="pct"/>
            <w:shd w:val="clear" w:color="auto" w:fill="auto"/>
            <w:noWrap/>
            <w:vAlign w:val="center"/>
            <w:hideMark/>
          </w:tcPr>
          <w:p w14:paraId="7C7E934A" w14:textId="6664EEBE" w:rsidR="0016685E" w:rsidRPr="00CD11DE" w:rsidRDefault="0016685E" w:rsidP="0016685E">
            <w:pPr>
              <w:keepLines w:val="0"/>
              <w:spacing w:after="0" w:line="240" w:lineRule="auto"/>
              <w:jc w:val="right"/>
              <w:rPr>
                <w:sz w:val="18"/>
                <w:szCs w:val="18"/>
              </w:rPr>
            </w:pPr>
            <w:r w:rsidRPr="00CD11DE">
              <w:rPr>
                <w:sz w:val="18"/>
                <w:szCs w:val="18"/>
              </w:rPr>
              <w:t>-</w:t>
            </w:r>
          </w:p>
        </w:tc>
        <w:tc>
          <w:tcPr>
            <w:tcW w:w="541" w:type="pct"/>
            <w:shd w:val="clear" w:color="auto" w:fill="auto"/>
            <w:noWrap/>
            <w:vAlign w:val="center"/>
            <w:hideMark/>
          </w:tcPr>
          <w:p w14:paraId="1EE570C0" w14:textId="4927D467" w:rsidR="0016685E" w:rsidRPr="00CD11DE" w:rsidRDefault="0016685E" w:rsidP="0016685E">
            <w:pPr>
              <w:keepLines w:val="0"/>
              <w:spacing w:after="0" w:line="240" w:lineRule="auto"/>
              <w:jc w:val="right"/>
              <w:rPr>
                <w:sz w:val="18"/>
                <w:szCs w:val="18"/>
              </w:rPr>
            </w:pPr>
            <w:r w:rsidRPr="00CD11DE">
              <w:rPr>
                <w:sz w:val="18"/>
                <w:szCs w:val="18"/>
              </w:rPr>
              <w:t>42.1</w:t>
            </w:r>
          </w:p>
        </w:tc>
        <w:tc>
          <w:tcPr>
            <w:tcW w:w="563" w:type="pct"/>
            <w:shd w:val="clear" w:color="auto" w:fill="auto"/>
            <w:noWrap/>
            <w:vAlign w:val="center"/>
            <w:hideMark/>
          </w:tcPr>
          <w:p w14:paraId="63233AC2" w14:textId="180C440B" w:rsidR="0016685E" w:rsidRPr="00CD11DE" w:rsidRDefault="0016685E" w:rsidP="0016685E">
            <w:pPr>
              <w:keepLines w:val="0"/>
              <w:spacing w:after="0" w:line="240" w:lineRule="auto"/>
              <w:jc w:val="right"/>
              <w:rPr>
                <w:b/>
                <w:bCs/>
                <w:sz w:val="18"/>
                <w:szCs w:val="18"/>
              </w:rPr>
            </w:pPr>
            <w:r w:rsidRPr="00CD11DE">
              <w:rPr>
                <w:sz w:val="18"/>
                <w:szCs w:val="18"/>
              </w:rPr>
              <w:t>42.1</w:t>
            </w:r>
          </w:p>
        </w:tc>
      </w:tr>
      <w:tr w:rsidR="0016685E" w:rsidRPr="00CD11DE" w14:paraId="6297F4D0" w14:textId="77777777" w:rsidTr="006F3279">
        <w:trPr>
          <w:trHeight w:val="289"/>
        </w:trPr>
        <w:tc>
          <w:tcPr>
            <w:tcW w:w="1050" w:type="pct"/>
            <w:shd w:val="clear" w:color="auto" w:fill="06B1D6" w:themeFill="accent1"/>
            <w:vAlign w:val="center"/>
          </w:tcPr>
          <w:p w14:paraId="528287D4"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788" w:type="pct"/>
            <w:shd w:val="clear" w:color="auto" w:fill="auto"/>
            <w:noWrap/>
            <w:vAlign w:val="center"/>
          </w:tcPr>
          <w:p w14:paraId="74A1A92D" w14:textId="299B1E8F" w:rsidR="0016685E" w:rsidRPr="00CD11DE" w:rsidRDefault="0016685E" w:rsidP="0016685E">
            <w:pPr>
              <w:keepLines w:val="0"/>
              <w:spacing w:after="0" w:line="240" w:lineRule="auto"/>
              <w:jc w:val="right"/>
              <w:rPr>
                <w:sz w:val="18"/>
                <w:szCs w:val="18"/>
              </w:rPr>
            </w:pPr>
            <w:r w:rsidRPr="00CD11DE">
              <w:rPr>
                <w:sz w:val="18"/>
                <w:szCs w:val="18"/>
              </w:rPr>
              <w:t>-</w:t>
            </w:r>
          </w:p>
        </w:tc>
        <w:tc>
          <w:tcPr>
            <w:tcW w:w="776" w:type="pct"/>
            <w:shd w:val="clear" w:color="auto" w:fill="auto"/>
            <w:noWrap/>
            <w:vAlign w:val="center"/>
          </w:tcPr>
          <w:p w14:paraId="78E42964" w14:textId="3EF00F25" w:rsidR="0016685E" w:rsidRPr="00CD11DE" w:rsidRDefault="0016685E" w:rsidP="0016685E">
            <w:pPr>
              <w:keepLines w:val="0"/>
              <w:spacing w:after="0" w:line="240" w:lineRule="auto"/>
              <w:jc w:val="right"/>
              <w:rPr>
                <w:sz w:val="18"/>
                <w:szCs w:val="18"/>
              </w:rPr>
            </w:pPr>
            <w:r w:rsidRPr="00CD11DE">
              <w:rPr>
                <w:sz w:val="18"/>
                <w:szCs w:val="18"/>
              </w:rPr>
              <w:t>-</w:t>
            </w:r>
          </w:p>
        </w:tc>
        <w:tc>
          <w:tcPr>
            <w:tcW w:w="634" w:type="pct"/>
            <w:shd w:val="clear" w:color="auto" w:fill="auto"/>
            <w:noWrap/>
            <w:vAlign w:val="center"/>
          </w:tcPr>
          <w:p w14:paraId="6414DFE1" w14:textId="1A81C4F4" w:rsidR="0016685E" w:rsidRPr="00CD11DE" w:rsidRDefault="0016685E" w:rsidP="0016685E">
            <w:pPr>
              <w:keepLines w:val="0"/>
              <w:spacing w:after="0" w:line="240" w:lineRule="auto"/>
              <w:jc w:val="right"/>
              <w:rPr>
                <w:sz w:val="18"/>
                <w:szCs w:val="18"/>
              </w:rPr>
            </w:pPr>
            <w:r w:rsidRPr="00CD11DE">
              <w:rPr>
                <w:sz w:val="18"/>
                <w:szCs w:val="18"/>
              </w:rPr>
              <w:t>11.2</w:t>
            </w:r>
          </w:p>
        </w:tc>
        <w:tc>
          <w:tcPr>
            <w:tcW w:w="648" w:type="pct"/>
            <w:shd w:val="clear" w:color="auto" w:fill="auto"/>
            <w:noWrap/>
            <w:vAlign w:val="center"/>
          </w:tcPr>
          <w:p w14:paraId="0FDDB300" w14:textId="7F6D7531" w:rsidR="0016685E" w:rsidRPr="00CD11DE" w:rsidRDefault="0016685E" w:rsidP="0016685E">
            <w:pPr>
              <w:keepLines w:val="0"/>
              <w:spacing w:after="0" w:line="240" w:lineRule="auto"/>
              <w:jc w:val="right"/>
              <w:rPr>
                <w:sz w:val="18"/>
                <w:szCs w:val="18"/>
              </w:rPr>
            </w:pPr>
            <w:r w:rsidRPr="00CD11DE">
              <w:rPr>
                <w:sz w:val="18"/>
                <w:szCs w:val="18"/>
              </w:rPr>
              <w:t>-</w:t>
            </w:r>
          </w:p>
        </w:tc>
        <w:tc>
          <w:tcPr>
            <w:tcW w:w="541" w:type="pct"/>
            <w:shd w:val="clear" w:color="auto" w:fill="auto"/>
            <w:noWrap/>
            <w:vAlign w:val="center"/>
          </w:tcPr>
          <w:p w14:paraId="4728CEEE" w14:textId="2535CD9E" w:rsidR="0016685E" w:rsidRPr="00CD11DE" w:rsidRDefault="0016685E" w:rsidP="0016685E">
            <w:pPr>
              <w:keepLines w:val="0"/>
              <w:spacing w:after="0" w:line="240" w:lineRule="auto"/>
              <w:jc w:val="right"/>
              <w:rPr>
                <w:sz w:val="18"/>
                <w:szCs w:val="18"/>
              </w:rPr>
            </w:pPr>
            <w:r w:rsidRPr="00CD11DE">
              <w:rPr>
                <w:sz w:val="18"/>
                <w:szCs w:val="18"/>
              </w:rPr>
              <w:t>-</w:t>
            </w:r>
          </w:p>
        </w:tc>
        <w:tc>
          <w:tcPr>
            <w:tcW w:w="563" w:type="pct"/>
            <w:shd w:val="clear" w:color="auto" w:fill="auto"/>
            <w:noWrap/>
            <w:vAlign w:val="center"/>
          </w:tcPr>
          <w:p w14:paraId="039768B1" w14:textId="1C1DE0C5" w:rsidR="0016685E" w:rsidRPr="00CD11DE" w:rsidRDefault="0016685E" w:rsidP="0016685E">
            <w:pPr>
              <w:keepLines w:val="0"/>
              <w:spacing w:after="0" w:line="240" w:lineRule="auto"/>
              <w:jc w:val="right"/>
              <w:rPr>
                <w:b/>
                <w:bCs/>
                <w:sz w:val="18"/>
                <w:szCs w:val="18"/>
              </w:rPr>
            </w:pPr>
            <w:r w:rsidRPr="00CD11DE">
              <w:rPr>
                <w:sz w:val="18"/>
                <w:szCs w:val="18"/>
              </w:rPr>
              <w:t>11.2</w:t>
            </w:r>
          </w:p>
        </w:tc>
      </w:tr>
      <w:tr w:rsidR="0016685E" w:rsidRPr="00CD11DE" w14:paraId="718B7F8D" w14:textId="77777777" w:rsidTr="006F3279">
        <w:trPr>
          <w:trHeight w:val="289"/>
        </w:trPr>
        <w:tc>
          <w:tcPr>
            <w:tcW w:w="1050" w:type="pct"/>
            <w:shd w:val="clear" w:color="auto" w:fill="06B1D6" w:themeFill="accent1"/>
            <w:vAlign w:val="center"/>
            <w:hideMark/>
          </w:tcPr>
          <w:p w14:paraId="7A97B756"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788" w:type="pct"/>
            <w:shd w:val="clear" w:color="auto" w:fill="auto"/>
            <w:noWrap/>
            <w:vAlign w:val="center"/>
            <w:hideMark/>
          </w:tcPr>
          <w:p w14:paraId="29614E09" w14:textId="4144AC26" w:rsidR="0016685E" w:rsidRPr="00CD11DE" w:rsidRDefault="0016685E" w:rsidP="0016685E">
            <w:pPr>
              <w:keepLines w:val="0"/>
              <w:spacing w:after="0" w:line="240" w:lineRule="auto"/>
              <w:jc w:val="right"/>
              <w:rPr>
                <w:b/>
                <w:bCs/>
                <w:sz w:val="18"/>
                <w:szCs w:val="18"/>
              </w:rPr>
            </w:pPr>
            <w:r w:rsidRPr="00CD11DE">
              <w:rPr>
                <w:b/>
                <w:bCs/>
                <w:sz w:val="18"/>
                <w:szCs w:val="18"/>
              </w:rPr>
              <w:t>993.1</w:t>
            </w:r>
          </w:p>
        </w:tc>
        <w:tc>
          <w:tcPr>
            <w:tcW w:w="776" w:type="pct"/>
            <w:shd w:val="clear" w:color="auto" w:fill="auto"/>
            <w:noWrap/>
            <w:vAlign w:val="center"/>
            <w:hideMark/>
          </w:tcPr>
          <w:p w14:paraId="14FB8969" w14:textId="028D0BB2" w:rsidR="0016685E" w:rsidRPr="00CD11DE" w:rsidRDefault="0016685E" w:rsidP="0016685E">
            <w:pPr>
              <w:keepLines w:val="0"/>
              <w:spacing w:after="0" w:line="240" w:lineRule="auto"/>
              <w:jc w:val="right"/>
              <w:rPr>
                <w:b/>
                <w:bCs/>
                <w:sz w:val="18"/>
                <w:szCs w:val="18"/>
              </w:rPr>
            </w:pPr>
            <w:r w:rsidRPr="00CD11DE">
              <w:rPr>
                <w:b/>
                <w:bCs/>
                <w:sz w:val="18"/>
                <w:szCs w:val="18"/>
              </w:rPr>
              <w:t>900.0</w:t>
            </w:r>
          </w:p>
        </w:tc>
        <w:tc>
          <w:tcPr>
            <w:tcW w:w="634" w:type="pct"/>
            <w:shd w:val="clear" w:color="auto" w:fill="auto"/>
            <w:noWrap/>
            <w:vAlign w:val="center"/>
            <w:hideMark/>
          </w:tcPr>
          <w:p w14:paraId="10D34854" w14:textId="78064FA0" w:rsidR="0016685E" w:rsidRPr="00CD11DE" w:rsidRDefault="0016685E" w:rsidP="0016685E">
            <w:pPr>
              <w:keepLines w:val="0"/>
              <w:spacing w:after="0" w:line="240" w:lineRule="auto"/>
              <w:jc w:val="right"/>
              <w:rPr>
                <w:b/>
                <w:bCs/>
                <w:sz w:val="18"/>
                <w:szCs w:val="18"/>
              </w:rPr>
            </w:pPr>
            <w:r w:rsidRPr="00CD11DE">
              <w:rPr>
                <w:b/>
                <w:bCs/>
                <w:sz w:val="18"/>
                <w:szCs w:val="18"/>
              </w:rPr>
              <w:t>308.8</w:t>
            </w:r>
          </w:p>
        </w:tc>
        <w:tc>
          <w:tcPr>
            <w:tcW w:w="648" w:type="pct"/>
            <w:shd w:val="clear" w:color="auto" w:fill="auto"/>
            <w:noWrap/>
            <w:vAlign w:val="center"/>
            <w:hideMark/>
          </w:tcPr>
          <w:p w14:paraId="148A876D" w14:textId="2529B486" w:rsidR="0016685E" w:rsidRPr="00CD11DE" w:rsidRDefault="0016685E" w:rsidP="0016685E">
            <w:pPr>
              <w:keepLines w:val="0"/>
              <w:spacing w:after="0" w:line="240" w:lineRule="auto"/>
              <w:jc w:val="right"/>
              <w:rPr>
                <w:b/>
                <w:bCs/>
                <w:sz w:val="18"/>
                <w:szCs w:val="18"/>
              </w:rPr>
            </w:pPr>
            <w:r w:rsidRPr="00CD11DE">
              <w:rPr>
                <w:b/>
                <w:bCs/>
                <w:sz w:val="18"/>
                <w:szCs w:val="18"/>
              </w:rPr>
              <w:t>252.7</w:t>
            </w:r>
          </w:p>
        </w:tc>
        <w:tc>
          <w:tcPr>
            <w:tcW w:w="541" w:type="pct"/>
            <w:shd w:val="clear" w:color="auto" w:fill="auto"/>
            <w:noWrap/>
            <w:vAlign w:val="center"/>
            <w:hideMark/>
          </w:tcPr>
          <w:p w14:paraId="217A09F6" w14:textId="4BFF4BC6" w:rsidR="0016685E" w:rsidRPr="00CD11DE" w:rsidRDefault="0016685E" w:rsidP="0016685E">
            <w:pPr>
              <w:keepLines w:val="0"/>
              <w:spacing w:after="0" w:line="240" w:lineRule="auto"/>
              <w:jc w:val="right"/>
              <w:rPr>
                <w:b/>
                <w:bCs/>
                <w:sz w:val="18"/>
                <w:szCs w:val="18"/>
              </w:rPr>
            </w:pPr>
            <w:r w:rsidRPr="00CD11DE">
              <w:rPr>
                <w:b/>
                <w:bCs/>
                <w:sz w:val="18"/>
                <w:szCs w:val="18"/>
              </w:rPr>
              <w:t>42.1</w:t>
            </w:r>
          </w:p>
        </w:tc>
        <w:tc>
          <w:tcPr>
            <w:tcW w:w="563" w:type="pct"/>
            <w:shd w:val="clear" w:color="auto" w:fill="auto"/>
            <w:noWrap/>
            <w:vAlign w:val="center"/>
            <w:hideMark/>
          </w:tcPr>
          <w:p w14:paraId="61DCE008" w14:textId="1C0AD5A1" w:rsidR="0016685E" w:rsidRPr="00CD11DE" w:rsidRDefault="0016685E" w:rsidP="0016685E">
            <w:pPr>
              <w:keepLines w:val="0"/>
              <w:spacing w:after="0" w:line="240" w:lineRule="auto"/>
              <w:jc w:val="right"/>
              <w:rPr>
                <w:b/>
                <w:bCs/>
                <w:sz w:val="18"/>
                <w:szCs w:val="18"/>
              </w:rPr>
            </w:pPr>
            <w:r w:rsidRPr="00CD11DE">
              <w:rPr>
                <w:b/>
                <w:bCs/>
                <w:sz w:val="18"/>
                <w:szCs w:val="18"/>
              </w:rPr>
              <w:t>2,496.7</w:t>
            </w:r>
          </w:p>
        </w:tc>
      </w:tr>
    </w:tbl>
    <w:p w14:paraId="53035827" w14:textId="77777777" w:rsidR="00215FA3" w:rsidRDefault="00215FA3" w:rsidP="0000514A">
      <w:pPr>
        <w:keepLines w:val="0"/>
        <w:spacing w:after="0" w:line="259" w:lineRule="auto"/>
        <w:jc w:val="left"/>
        <w:rPr>
          <w:b/>
          <w:sz w:val="20"/>
          <w:szCs w:val="20"/>
        </w:rPr>
      </w:pPr>
    </w:p>
    <w:p w14:paraId="27EF6F4A" w14:textId="77777777" w:rsidR="00215FA3" w:rsidRDefault="00215FA3" w:rsidP="0000514A">
      <w:pPr>
        <w:keepLines w:val="0"/>
        <w:spacing w:after="0" w:line="259" w:lineRule="auto"/>
        <w:jc w:val="left"/>
        <w:rPr>
          <w:b/>
          <w:sz w:val="20"/>
          <w:szCs w:val="20"/>
        </w:rPr>
      </w:pPr>
    </w:p>
    <w:p w14:paraId="6CFC74F6" w14:textId="77777777" w:rsidR="00215FA3" w:rsidRDefault="00215FA3" w:rsidP="0000514A">
      <w:pPr>
        <w:keepLines w:val="0"/>
        <w:spacing w:after="0" w:line="259" w:lineRule="auto"/>
        <w:jc w:val="left"/>
        <w:rPr>
          <w:b/>
          <w:sz w:val="20"/>
          <w:szCs w:val="20"/>
        </w:rPr>
      </w:pPr>
    </w:p>
    <w:p w14:paraId="60611B02" w14:textId="77777777" w:rsidR="00215FA3" w:rsidRDefault="00215FA3" w:rsidP="0000514A">
      <w:pPr>
        <w:keepLines w:val="0"/>
        <w:spacing w:after="0" w:line="259" w:lineRule="auto"/>
        <w:jc w:val="left"/>
        <w:rPr>
          <w:b/>
          <w:sz w:val="20"/>
          <w:szCs w:val="20"/>
        </w:rPr>
      </w:pPr>
    </w:p>
    <w:p w14:paraId="7808DDED" w14:textId="6FE3C5A0" w:rsidR="00215FA3" w:rsidRPr="00C62D72" w:rsidRDefault="00D66317" w:rsidP="00C62D72">
      <w:pPr>
        <w:jc w:val="center"/>
        <w:rPr>
          <w:sz w:val="18"/>
          <w:szCs w:val="18"/>
        </w:rPr>
      </w:pPr>
      <w:r w:rsidRPr="00D07D93">
        <w:rPr>
          <w:b/>
          <w:bCs/>
          <w:sz w:val="20"/>
          <w:szCs w:val="20"/>
        </w:rPr>
        <w:t>[Remainder of page intentionally left blank – Table/Figure shown on next page]</w:t>
      </w:r>
    </w:p>
    <w:p w14:paraId="18C419CA" w14:textId="77777777" w:rsidR="003C54ED" w:rsidRDefault="003C54ED" w:rsidP="0000514A">
      <w:pPr>
        <w:keepLines w:val="0"/>
        <w:spacing w:after="0" w:line="259" w:lineRule="auto"/>
        <w:jc w:val="left"/>
        <w:rPr>
          <w:b/>
          <w:sz w:val="20"/>
          <w:szCs w:val="20"/>
        </w:rPr>
      </w:pPr>
    </w:p>
    <w:p w14:paraId="0FCE5B8E" w14:textId="77777777" w:rsidR="007E2554" w:rsidRPr="00CD11DE" w:rsidRDefault="007E2554" w:rsidP="0000514A">
      <w:pPr>
        <w:keepLines w:val="0"/>
        <w:spacing w:after="0" w:line="259" w:lineRule="auto"/>
        <w:jc w:val="left"/>
        <w:rPr>
          <w:b/>
          <w:sz w:val="20"/>
          <w:szCs w:val="20"/>
        </w:rPr>
      </w:pPr>
    </w:p>
    <w:p w14:paraId="3E91B08E" w14:textId="616C8DF2" w:rsidR="009E50E7" w:rsidRPr="00CD11DE" w:rsidRDefault="009E50E7" w:rsidP="00F260C3">
      <w:pPr>
        <w:pStyle w:val="Caption"/>
      </w:pPr>
      <w:r w:rsidRPr="00CD11DE">
        <w:lastRenderedPageBreak/>
        <w:t xml:space="preserve">Table </w:t>
      </w:r>
      <w:r w:rsidRPr="00CD11DE">
        <w:fldChar w:fldCharType="begin"/>
      </w:r>
      <w:r w:rsidRPr="00CD11DE">
        <w:instrText xml:space="preserve"> SEQ Table \* ARABIC </w:instrText>
      </w:r>
      <w:r w:rsidRPr="00CD11DE">
        <w:fldChar w:fldCharType="separate"/>
      </w:r>
      <w:r w:rsidRPr="00CD11DE">
        <w:rPr>
          <w:noProof/>
        </w:rPr>
        <w:t>12</w:t>
      </w:r>
      <w:r w:rsidRPr="00CD11DE">
        <w:fldChar w:fldCharType="end"/>
      </w:r>
      <w:r w:rsidRPr="00CD11DE">
        <w:t xml:space="preserve">: 31 December </w:t>
      </w:r>
      <w:r w:rsidR="0023087C">
        <w:t>2024</w:t>
      </w:r>
      <w:r w:rsidRPr="00CD11DE">
        <w:t xml:space="preserve"> Standardised Approach by risk weight percentage (£m)</w:t>
      </w:r>
    </w:p>
    <w:tbl>
      <w:tblPr>
        <w:tblpPr w:leftFromText="180" w:rightFromText="180" w:vertAnchor="text" w:horzAnchor="margin" w:tblpY="8"/>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002"/>
        <w:gridCol w:w="1005"/>
        <w:gridCol w:w="1005"/>
        <w:gridCol w:w="1005"/>
        <w:gridCol w:w="1005"/>
        <w:gridCol w:w="1005"/>
        <w:gridCol w:w="903"/>
        <w:gridCol w:w="876"/>
      </w:tblGrid>
      <w:tr w:rsidR="00041BD0" w:rsidRPr="00CD11DE" w14:paraId="3FC22693" w14:textId="77777777" w:rsidTr="006F3279">
        <w:trPr>
          <w:trHeight w:val="282"/>
        </w:trPr>
        <w:tc>
          <w:tcPr>
            <w:tcW w:w="696" w:type="pct"/>
            <w:shd w:val="clear" w:color="auto" w:fill="06B1D6" w:themeFill="accent1"/>
            <w:vAlign w:val="center"/>
            <w:hideMark/>
          </w:tcPr>
          <w:p w14:paraId="212A43B6" w14:textId="77777777" w:rsidR="009E50E7" w:rsidRPr="00CD11DE" w:rsidRDefault="009E50E7" w:rsidP="00B61C14">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553" w:type="pct"/>
            <w:shd w:val="clear" w:color="auto" w:fill="06B1D6" w:themeFill="accent1"/>
            <w:vAlign w:val="center"/>
            <w:hideMark/>
          </w:tcPr>
          <w:p w14:paraId="6D7464D2"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0%</w:t>
            </w:r>
          </w:p>
        </w:tc>
        <w:tc>
          <w:tcPr>
            <w:tcW w:w="554" w:type="pct"/>
            <w:shd w:val="clear" w:color="auto" w:fill="06B1D6" w:themeFill="accent1"/>
            <w:vAlign w:val="center"/>
            <w:hideMark/>
          </w:tcPr>
          <w:p w14:paraId="254CC5F9"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20%</w:t>
            </w:r>
          </w:p>
        </w:tc>
        <w:tc>
          <w:tcPr>
            <w:tcW w:w="554" w:type="pct"/>
            <w:shd w:val="clear" w:color="auto" w:fill="06B1D6" w:themeFill="accent1"/>
            <w:vAlign w:val="center"/>
            <w:hideMark/>
          </w:tcPr>
          <w:p w14:paraId="0D53BAB3"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35%</w:t>
            </w:r>
          </w:p>
        </w:tc>
        <w:tc>
          <w:tcPr>
            <w:tcW w:w="554" w:type="pct"/>
            <w:shd w:val="clear" w:color="auto" w:fill="06B1D6" w:themeFill="accent1"/>
            <w:vAlign w:val="center"/>
            <w:hideMark/>
          </w:tcPr>
          <w:p w14:paraId="602E2550"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50%</w:t>
            </w:r>
          </w:p>
        </w:tc>
        <w:tc>
          <w:tcPr>
            <w:tcW w:w="554" w:type="pct"/>
            <w:shd w:val="clear" w:color="auto" w:fill="06B1D6" w:themeFill="accent1"/>
            <w:vAlign w:val="center"/>
            <w:hideMark/>
          </w:tcPr>
          <w:p w14:paraId="655A686B"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75%</w:t>
            </w:r>
          </w:p>
        </w:tc>
        <w:tc>
          <w:tcPr>
            <w:tcW w:w="554" w:type="pct"/>
            <w:shd w:val="clear" w:color="auto" w:fill="06B1D6" w:themeFill="accent1"/>
            <w:vAlign w:val="center"/>
            <w:hideMark/>
          </w:tcPr>
          <w:p w14:paraId="5864C276"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100%</w:t>
            </w:r>
          </w:p>
        </w:tc>
        <w:tc>
          <w:tcPr>
            <w:tcW w:w="498" w:type="pct"/>
            <w:shd w:val="clear" w:color="auto" w:fill="06B1D6" w:themeFill="accent1"/>
            <w:vAlign w:val="center"/>
            <w:hideMark/>
          </w:tcPr>
          <w:p w14:paraId="2C8510CB"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150%</w:t>
            </w:r>
          </w:p>
        </w:tc>
        <w:tc>
          <w:tcPr>
            <w:tcW w:w="484" w:type="pct"/>
            <w:shd w:val="clear" w:color="auto" w:fill="06B1D6" w:themeFill="accent1"/>
            <w:vAlign w:val="center"/>
            <w:hideMark/>
          </w:tcPr>
          <w:p w14:paraId="07E2131E" w14:textId="77777777" w:rsidR="009E50E7" w:rsidRPr="00CD11DE" w:rsidRDefault="009E50E7"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p>
        </w:tc>
      </w:tr>
      <w:tr w:rsidR="001030FC" w:rsidRPr="00CD11DE" w14:paraId="1724F890" w14:textId="77777777" w:rsidTr="006F3279">
        <w:trPr>
          <w:trHeight w:val="282"/>
        </w:trPr>
        <w:tc>
          <w:tcPr>
            <w:tcW w:w="696" w:type="pct"/>
            <w:shd w:val="clear" w:color="auto" w:fill="06B1D6" w:themeFill="accent1"/>
            <w:vAlign w:val="center"/>
            <w:hideMark/>
          </w:tcPr>
          <w:p w14:paraId="421D9741"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w:t>
            </w:r>
          </w:p>
        </w:tc>
        <w:tc>
          <w:tcPr>
            <w:tcW w:w="553" w:type="pct"/>
            <w:shd w:val="clear" w:color="auto" w:fill="auto"/>
            <w:noWrap/>
          </w:tcPr>
          <w:p w14:paraId="044080D8" w14:textId="1C8E7913" w:rsidR="001030FC" w:rsidRPr="001030FC" w:rsidRDefault="001030FC" w:rsidP="001030FC">
            <w:pPr>
              <w:keepLines w:val="0"/>
              <w:spacing w:after="0" w:line="240" w:lineRule="auto"/>
              <w:jc w:val="right"/>
              <w:rPr>
                <w:sz w:val="18"/>
                <w:szCs w:val="18"/>
              </w:rPr>
            </w:pPr>
            <w:r w:rsidRPr="007E0530">
              <w:rPr>
                <w:sz w:val="18"/>
                <w:szCs w:val="18"/>
              </w:rPr>
              <w:t xml:space="preserve"> 95.6 </w:t>
            </w:r>
          </w:p>
        </w:tc>
        <w:tc>
          <w:tcPr>
            <w:tcW w:w="554" w:type="pct"/>
            <w:shd w:val="clear" w:color="auto" w:fill="auto"/>
            <w:noWrap/>
          </w:tcPr>
          <w:p w14:paraId="399B84FC" w14:textId="20C7808E" w:rsidR="001030FC" w:rsidRPr="001030FC" w:rsidRDefault="001030FC" w:rsidP="001030FC">
            <w:pPr>
              <w:keepLines w:val="0"/>
              <w:spacing w:after="0" w:line="240" w:lineRule="auto"/>
              <w:jc w:val="right"/>
              <w:rPr>
                <w:sz w:val="18"/>
                <w:szCs w:val="18"/>
              </w:rPr>
            </w:pPr>
            <w:r w:rsidRPr="007E0530">
              <w:rPr>
                <w:sz w:val="18"/>
                <w:szCs w:val="18"/>
              </w:rPr>
              <w:t xml:space="preserve"> 155.5 </w:t>
            </w:r>
          </w:p>
        </w:tc>
        <w:tc>
          <w:tcPr>
            <w:tcW w:w="554" w:type="pct"/>
            <w:shd w:val="clear" w:color="auto" w:fill="auto"/>
            <w:noWrap/>
          </w:tcPr>
          <w:p w14:paraId="1E4978F6" w14:textId="209B9956"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03B23ECD" w14:textId="61D21843" w:rsidR="001030FC" w:rsidRPr="001030FC" w:rsidRDefault="001030FC" w:rsidP="001030FC">
            <w:pPr>
              <w:keepLines w:val="0"/>
              <w:spacing w:after="0" w:line="240" w:lineRule="auto"/>
              <w:jc w:val="right"/>
              <w:rPr>
                <w:sz w:val="18"/>
                <w:szCs w:val="18"/>
              </w:rPr>
            </w:pPr>
            <w:r w:rsidRPr="007E0530">
              <w:rPr>
                <w:sz w:val="18"/>
                <w:szCs w:val="18"/>
              </w:rPr>
              <w:t xml:space="preserve"> 2</w:t>
            </w:r>
            <w:r w:rsidR="008E0509">
              <w:rPr>
                <w:sz w:val="18"/>
                <w:szCs w:val="18"/>
              </w:rPr>
              <w:t>88.3</w:t>
            </w:r>
            <w:r w:rsidRPr="007E0530">
              <w:rPr>
                <w:sz w:val="18"/>
                <w:szCs w:val="18"/>
              </w:rPr>
              <w:t xml:space="preserve"> </w:t>
            </w:r>
          </w:p>
        </w:tc>
        <w:tc>
          <w:tcPr>
            <w:tcW w:w="554" w:type="pct"/>
            <w:shd w:val="clear" w:color="auto" w:fill="auto"/>
            <w:noWrap/>
          </w:tcPr>
          <w:p w14:paraId="681FF23F" w14:textId="53F9B4D4"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2C9D486F" w14:textId="2D9B17D6"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98" w:type="pct"/>
            <w:shd w:val="clear" w:color="auto" w:fill="auto"/>
            <w:noWrap/>
          </w:tcPr>
          <w:p w14:paraId="28F0933B" w14:textId="31EE3905"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84" w:type="pct"/>
            <w:shd w:val="clear" w:color="auto" w:fill="auto"/>
            <w:noWrap/>
          </w:tcPr>
          <w:p w14:paraId="304D0E29" w14:textId="0E681AA8" w:rsidR="001030FC" w:rsidRPr="001030FC" w:rsidRDefault="001030FC" w:rsidP="001030FC">
            <w:pPr>
              <w:keepLines w:val="0"/>
              <w:spacing w:after="0" w:line="240" w:lineRule="auto"/>
              <w:jc w:val="right"/>
              <w:rPr>
                <w:sz w:val="18"/>
                <w:szCs w:val="18"/>
              </w:rPr>
            </w:pPr>
            <w:r w:rsidRPr="007E0530">
              <w:rPr>
                <w:sz w:val="18"/>
                <w:szCs w:val="18"/>
              </w:rPr>
              <w:t xml:space="preserve"> 5</w:t>
            </w:r>
            <w:r w:rsidR="008E0509">
              <w:rPr>
                <w:sz w:val="18"/>
                <w:szCs w:val="18"/>
              </w:rPr>
              <w:t>39.4</w:t>
            </w:r>
            <w:r w:rsidRPr="007E0530">
              <w:rPr>
                <w:sz w:val="18"/>
                <w:szCs w:val="18"/>
              </w:rPr>
              <w:t xml:space="preserve"> </w:t>
            </w:r>
          </w:p>
        </w:tc>
      </w:tr>
      <w:tr w:rsidR="001030FC" w:rsidRPr="00CD11DE" w14:paraId="1EE76DE0" w14:textId="77777777" w:rsidTr="006F3279">
        <w:trPr>
          <w:trHeight w:val="282"/>
        </w:trPr>
        <w:tc>
          <w:tcPr>
            <w:tcW w:w="696" w:type="pct"/>
            <w:shd w:val="clear" w:color="auto" w:fill="06B1D6" w:themeFill="accent1"/>
            <w:vAlign w:val="center"/>
            <w:hideMark/>
          </w:tcPr>
          <w:p w14:paraId="00607299"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553" w:type="pct"/>
            <w:shd w:val="clear" w:color="auto" w:fill="auto"/>
            <w:noWrap/>
          </w:tcPr>
          <w:p w14:paraId="0F191999" w14:textId="27A99B8E" w:rsidR="001030FC" w:rsidRPr="001030FC" w:rsidRDefault="001030FC" w:rsidP="001030FC">
            <w:pPr>
              <w:keepLines w:val="0"/>
              <w:spacing w:after="0" w:line="240" w:lineRule="auto"/>
              <w:jc w:val="right"/>
              <w:rPr>
                <w:sz w:val="18"/>
                <w:szCs w:val="18"/>
              </w:rPr>
            </w:pPr>
            <w:r w:rsidRPr="007E0530">
              <w:rPr>
                <w:sz w:val="18"/>
                <w:szCs w:val="18"/>
              </w:rPr>
              <w:t xml:space="preserve"> 43.</w:t>
            </w:r>
            <w:r w:rsidR="008E0509">
              <w:rPr>
                <w:sz w:val="18"/>
                <w:szCs w:val="18"/>
              </w:rPr>
              <w:t>8</w:t>
            </w:r>
            <w:r w:rsidRPr="007E0530">
              <w:rPr>
                <w:sz w:val="18"/>
                <w:szCs w:val="18"/>
              </w:rPr>
              <w:t xml:space="preserve"> </w:t>
            </w:r>
          </w:p>
        </w:tc>
        <w:tc>
          <w:tcPr>
            <w:tcW w:w="554" w:type="pct"/>
            <w:shd w:val="clear" w:color="auto" w:fill="auto"/>
            <w:noWrap/>
          </w:tcPr>
          <w:p w14:paraId="50F7B708" w14:textId="072E20D8" w:rsidR="001030FC" w:rsidRPr="001030FC" w:rsidRDefault="001030FC" w:rsidP="001030FC">
            <w:pPr>
              <w:keepLines w:val="0"/>
              <w:spacing w:after="0" w:line="240" w:lineRule="auto"/>
              <w:jc w:val="right"/>
              <w:rPr>
                <w:sz w:val="18"/>
                <w:szCs w:val="18"/>
              </w:rPr>
            </w:pPr>
            <w:r w:rsidRPr="007E0530">
              <w:rPr>
                <w:sz w:val="18"/>
                <w:szCs w:val="18"/>
              </w:rPr>
              <w:t xml:space="preserve"> 9</w:t>
            </w:r>
            <w:r w:rsidR="008E0509">
              <w:rPr>
                <w:sz w:val="18"/>
                <w:szCs w:val="18"/>
              </w:rPr>
              <w:t>8.1</w:t>
            </w:r>
            <w:r w:rsidRPr="007E0530">
              <w:rPr>
                <w:sz w:val="18"/>
                <w:szCs w:val="18"/>
              </w:rPr>
              <w:t xml:space="preserve"> </w:t>
            </w:r>
          </w:p>
        </w:tc>
        <w:tc>
          <w:tcPr>
            <w:tcW w:w="554" w:type="pct"/>
            <w:shd w:val="clear" w:color="auto" w:fill="auto"/>
            <w:noWrap/>
          </w:tcPr>
          <w:p w14:paraId="4A359BCF" w14:textId="0FAEAF8D"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05A72174" w14:textId="3B9166BA"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77BB1D07" w14:textId="541EB161"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60559718" w14:textId="3887BED7"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98" w:type="pct"/>
            <w:shd w:val="clear" w:color="auto" w:fill="auto"/>
            <w:noWrap/>
          </w:tcPr>
          <w:p w14:paraId="4E924FCE" w14:textId="4AB10776"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84" w:type="pct"/>
            <w:shd w:val="clear" w:color="auto" w:fill="auto"/>
            <w:noWrap/>
          </w:tcPr>
          <w:p w14:paraId="5E0C74BD" w14:textId="0C9903F0" w:rsidR="001030FC" w:rsidRPr="001030FC" w:rsidRDefault="001030FC" w:rsidP="001030FC">
            <w:pPr>
              <w:keepLines w:val="0"/>
              <w:spacing w:after="0" w:line="240" w:lineRule="auto"/>
              <w:jc w:val="right"/>
              <w:rPr>
                <w:sz w:val="18"/>
                <w:szCs w:val="18"/>
              </w:rPr>
            </w:pPr>
            <w:r w:rsidRPr="007E0530">
              <w:rPr>
                <w:sz w:val="18"/>
                <w:szCs w:val="18"/>
              </w:rPr>
              <w:t xml:space="preserve"> 1</w:t>
            </w:r>
            <w:r w:rsidR="008E0509">
              <w:rPr>
                <w:sz w:val="18"/>
                <w:szCs w:val="18"/>
              </w:rPr>
              <w:t>41.9</w:t>
            </w:r>
            <w:r w:rsidRPr="007E0530">
              <w:rPr>
                <w:sz w:val="18"/>
                <w:szCs w:val="18"/>
              </w:rPr>
              <w:t xml:space="preserve"> </w:t>
            </w:r>
          </w:p>
        </w:tc>
      </w:tr>
      <w:tr w:rsidR="001030FC" w:rsidRPr="00CD11DE" w14:paraId="5F22B3B5" w14:textId="77777777" w:rsidTr="006F3279">
        <w:trPr>
          <w:trHeight w:val="282"/>
        </w:trPr>
        <w:tc>
          <w:tcPr>
            <w:tcW w:w="696" w:type="pct"/>
            <w:shd w:val="clear" w:color="auto" w:fill="06B1D6" w:themeFill="accent1"/>
            <w:vAlign w:val="center"/>
            <w:hideMark/>
          </w:tcPr>
          <w:p w14:paraId="2F6EDD7A"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553" w:type="pct"/>
            <w:shd w:val="clear" w:color="auto" w:fill="auto"/>
            <w:noWrap/>
          </w:tcPr>
          <w:p w14:paraId="4B336683" w14:textId="6538D6B7"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0DF09D97" w14:textId="50922417"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62DA4FD8" w14:textId="5D77DCE5" w:rsidR="001030FC" w:rsidRPr="001030FC" w:rsidRDefault="001030FC" w:rsidP="001030FC">
            <w:pPr>
              <w:keepLines w:val="0"/>
              <w:spacing w:after="0" w:line="240" w:lineRule="auto"/>
              <w:jc w:val="right"/>
              <w:rPr>
                <w:sz w:val="18"/>
                <w:szCs w:val="18"/>
              </w:rPr>
            </w:pPr>
            <w:r w:rsidRPr="007E0530">
              <w:rPr>
                <w:sz w:val="18"/>
                <w:szCs w:val="18"/>
              </w:rPr>
              <w:t xml:space="preserve"> 905.</w:t>
            </w:r>
            <w:r w:rsidR="008E0509">
              <w:rPr>
                <w:sz w:val="18"/>
                <w:szCs w:val="18"/>
              </w:rPr>
              <w:t>0</w:t>
            </w:r>
            <w:r w:rsidRPr="007E0530">
              <w:rPr>
                <w:sz w:val="18"/>
                <w:szCs w:val="18"/>
              </w:rPr>
              <w:t xml:space="preserve"> </w:t>
            </w:r>
          </w:p>
        </w:tc>
        <w:tc>
          <w:tcPr>
            <w:tcW w:w="554" w:type="pct"/>
            <w:shd w:val="clear" w:color="auto" w:fill="auto"/>
            <w:noWrap/>
          </w:tcPr>
          <w:p w14:paraId="6C35EED4" w14:textId="5A62372C"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6C18214A" w14:textId="04EB881A" w:rsidR="001030FC" w:rsidRPr="001030FC" w:rsidRDefault="001030FC" w:rsidP="001030FC">
            <w:pPr>
              <w:keepLines w:val="0"/>
              <w:spacing w:after="0" w:line="240" w:lineRule="auto"/>
              <w:jc w:val="right"/>
              <w:rPr>
                <w:sz w:val="18"/>
                <w:szCs w:val="18"/>
              </w:rPr>
            </w:pPr>
            <w:r w:rsidRPr="007E0530">
              <w:rPr>
                <w:sz w:val="18"/>
                <w:szCs w:val="18"/>
              </w:rPr>
              <w:t xml:space="preserve"> 0.1 </w:t>
            </w:r>
          </w:p>
        </w:tc>
        <w:tc>
          <w:tcPr>
            <w:tcW w:w="554" w:type="pct"/>
            <w:shd w:val="clear" w:color="auto" w:fill="auto"/>
            <w:noWrap/>
          </w:tcPr>
          <w:p w14:paraId="74C211D6" w14:textId="5AD0FD40" w:rsidR="001030FC" w:rsidRPr="001030FC" w:rsidRDefault="001030FC" w:rsidP="001030FC">
            <w:pPr>
              <w:keepLines w:val="0"/>
              <w:spacing w:after="0" w:line="240" w:lineRule="auto"/>
              <w:jc w:val="right"/>
              <w:rPr>
                <w:sz w:val="18"/>
                <w:szCs w:val="18"/>
              </w:rPr>
            </w:pPr>
            <w:r w:rsidRPr="007E0530">
              <w:rPr>
                <w:sz w:val="18"/>
                <w:szCs w:val="18"/>
              </w:rPr>
              <w:t xml:space="preserve"> 27.9 </w:t>
            </w:r>
          </w:p>
        </w:tc>
        <w:tc>
          <w:tcPr>
            <w:tcW w:w="498" w:type="pct"/>
            <w:shd w:val="clear" w:color="auto" w:fill="auto"/>
            <w:noWrap/>
          </w:tcPr>
          <w:p w14:paraId="5433259E" w14:textId="1E9055BF"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84" w:type="pct"/>
            <w:shd w:val="clear" w:color="auto" w:fill="auto"/>
            <w:noWrap/>
          </w:tcPr>
          <w:p w14:paraId="4937075F" w14:textId="15E34647" w:rsidR="001030FC" w:rsidRPr="001030FC" w:rsidRDefault="001030FC" w:rsidP="001030FC">
            <w:pPr>
              <w:keepLines w:val="0"/>
              <w:spacing w:after="0" w:line="240" w:lineRule="auto"/>
              <w:jc w:val="right"/>
              <w:rPr>
                <w:sz w:val="18"/>
                <w:szCs w:val="18"/>
              </w:rPr>
            </w:pPr>
            <w:r w:rsidRPr="007E0530">
              <w:rPr>
                <w:sz w:val="18"/>
                <w:szCs w:val="18"/>
              </w:rPr>
              <w:t xml:space="preserve"> 933.</w:t>
            </w:r>
            <w:r w:rsidR="008E0509">
              <w:rPr>
                <w:sz w:val="18"/>
                <w:szCs w:val="18"/>
              </w:rPr>
              <w:t>0</w:t>
            </w:r>
            <w:r w:rsidRPr="007E0530">
              <w:rPr>
                <w:sz w:val="18"/>
                <w:szCs w:val="18"/>
              </w:rPr>
              <w:t xml:space="preserve"> </w:t>
            </w:r>
          </w:p>
        </w:tc>
      </w:tr>
      <w:tr w:rsidR="001030FC" w:rsidRPr="00CD11DE" w14:paraId="56DA7F25" w14:textId="77777777" w:rsidTr="006F3279">
        <w:trPr>
          <w:trHeight w:val="282"/>
        </w:trPr>
        <w:tc>
          <w:tcPr>
            <w:tcW w:w="696" w:type="pct"/>
            <w:shd w:val="clear" w:color="auto" w:fill="06B1D6" w:themeFill="accent1"/>
            <w:vAlign w:val="center"/>
            <w:hideMark/>
          </w:tcPr>
          <w:p w14:paraId="51550BAE"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553" w:type="pct"/>
            <w:shd w:val="clear" w:color="auto" w:fill="auto"/>
            <w:noWrap/>
          </w:tcPr>
          <w:p w14:paraId="46AE05C0" w14:textId="4B0BCA4A"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1D1F740A" w14:textId="1E5C5113"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5AB35C94" w14:textId="305DFB89" w:rsidR="001030FC" w:rsidRPr="001030FC" w:rsidRDefault="001030FC" w:rsidP="001030FC">
            <w:pPr>
              <w:keepLines w:val="0"/>
              <w:spacing w:after="0" w:line="240" w:lineRule="auto"/>
              <w:jc w:val="right"/>
              <w:rPr>
                <w:sz w:val="18"/>
                <w:szCs w:val="18"/>
              </w:rPr>
            </w:pPr>
            <w:r w:rsidRPr="007E0530">
              <w:rPr>
                <w:sz w:val="18"/>
                <w:szCs w:val="18"/>
              </w:rPr>
              <w:t xml:space="preserve"> 893.</w:t>
            </w:r>
            <w:r w:rsidR="008E0509">
              <w:rPr>
                <w:sz w:val="18"/>
                <w:szCs w:val="18"/>
              </w:rPr>
              <w:t>2</w:t>
            </w:r>
            <w:r w:rsidRPr="007E0530">
              <w:rPr>
                <w:sz w:val="18"/>
                <w:szCs w:val="18"/>
              </w:rPr>
              <w:t xml:space="preserve"> </w:t>
            </w:r>
          </w:p>
        </w:tc>
        <w:tc>
          <w:tcPr>
            <w:tcW w:w="554" w:type="pct"/>
            <w:shd w:val="clear" w:color="auto" w:fill="auto"/>
            <w:noWrap/>
          </w:tcPr>
          <w:p w14:paraId="2DF37568" w14:textId="20877CC1" w:rsidR="001030FC" w:rsidRPr="001030FC" w:rsidRDefault="001030FC" w:rsidP="001030FC">
            <w:pPr>
              <w:keepLines w:val="0"/>
              <w:spacing w:after="0" w:line="240" w:lineRule="auto"/>
              <w:jc w:val="right"/>
              <w:rPr>
                <w:sz w:val="18"/>
                <w:szCs w:val="18"/>
              </w:rPr>
            </w:pPr>
            <w:r w:rsidRPr="007E0530">
              <w:rPr>
                <w:sz w:val="18"/>
                <w:szCs w:val="18"/>
              </w:rPr>
              <w:t xml:space="preserve"> 19.0 </w:t>
            </w:r>
            <w:r w:rsidR="00437F0B">
              <w:rPr>
                <w:rStyle w:val="FootnoteReference"/>
                <w:sz w:val="18"/>
                <w:szCs w:val="18"/>
              </w:rPr>
              <w:footnoteReference w:id="6"/>
            </w:r>
          </w:p>
        </w:tc>
        <w:tc>
          <w:tcPr>
            <w:tcW w:w="554" w:type="pct"/>
            <w:shd w:val="clear" w:color="auto" w:fill="auto"/>
            <w:noWrap/>
          </w:tcPr>
          <w:p w14:paraId="6FEBCFE0" w14:textId="08C9C49E"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4492ADF3" w14:textId="7861E8E9" w:rsidR="001030FC" w:rsidRPr="001030FC" w:rsidRDefault="001030FC" w:rsidP="001030FC">
            <w:pPr>
              <w:keepLines w:val="0"/>
              <w:spacing w:after="0" w:line="240" w:lineRule="auto"/>
              <w:jc w:val="right"/>
              <w:rPr>
                <w:sz w:val="18"/>
                <w:szCs w:val="18"/>
              </w:rPr>
            </w:pPr>
            <w:r w:rsidRPr="007E0530">
              <w:rPr>
                <w:sz w:val="18"/>
                <w:szCs w:val="18"/>
              </w:rPr>
              <w:t xml:space="preserve"> 256.</w:t>
            </w:r>
            <w:r w:rsidR="008E0509">
              <w:rPr>
                <w:sz w:val="18"/>
                <w:szCs w:val="18"/>
              </w:rPr>
              <w:t>4</w:t>
            </w:r>
            <w:r w:rsidRPr="007E0530">
              <w:rPr>
                <w:sz w:val="18"/>
                <w:szCs w:val="18"/>
              </w:rPr>
              <w:t xml:space="preserve"> </w:t>
            </w:r>
          </w:p>
        </w:tc>
        <w:tc>
          <w:tcPr>
            <w:tcW w:w="498" w:type="pct"/>
            <w:shd w:val="clear" w:color="auto" w:fill="auto"/>
            <w:noWrap/>
          </w:tcPr>
          <w:p w14:paraId="4A281A92" w14:textId="7D3C235E" w:rsidR="001030FC" w:rsidRPr="001030FC" w:rsidRDefault="001030FC" w:rsidP="001030FC">
            <w:pPr>
              <w:keepLines w:val="0"/>
              <w:spacing w:after="0" w:line="240" w:lineRule="auto"/>
              <w:jc w:val="right"/>
              <w:rPr>
                <w:sz w:val="18"/>
                <w:szCs w:val="18"/>
              </w:rPr>
            </w:pPr>
            <w:r w:rsidRPr="007E0530">
              <w:rPr>
                <w:sz w:val="18"/>
                <w:szCs w:val="18"/>
              </w:rPr>
              <w:t xml:space="preserve"> 16.</w:t>
            </w:r>
            <w:r w:rsidR="008E0509">
              <w:rPr>
                <w:sz w:val="18"/>
                <w:szCs w:val="18"/>
              </w:rPr>
              <w:t>4</w:t>
            </w:r>
            <w:r w:rsidRPr="007E0530">
              <w:rPr>
                <w:sz w:val="18"/>
                <w:szCs w:val="18"/>
              </w:rPr>
              <w:t xml:space="preserve"> </w:t>
            </w:r>
          </w:p>
        </w:tc>
        <w:tc>
          <w:tcPr>
            <w:tcW w:w="484" w:type="pct"/>
            <w:shd w:val="clear" w:color="auto" w:fill="auto"/>
            <w:noWrap/>
          </w:tcPr>
          <w:p w14:paraId="7F901DF7" w14:textId="4E020183" w:rsidR="001030FC" w:rsidRPr="001030FC" w:rsidRDefault="001030FC" w:rsidP="001030FC">
            <w:pPr>
              <w:keepLines w:val="0"/>
              <w:spacing w:after="0" w:line="240" w:lineRule="auto"/>
              <w:jc w:val="right"/>
              <w:rPr>
                <w:sz w:val="18"/>
                <w:szCs w:val="18"/>
              </w:rPr>
            </w:pPr>
            <w:r w:rsidRPr="007E0530">
              <w:rPr>
                <w:sz w:val="18"/>
                <w:szCs w:val="18"/>
              </w:rPr>
              <w:t xml:space="preserve"> 1,185.</w:t>
            </w:r>
            <w:r w:rsidR="008E0509">
              <w:rPr>
                <w:sz w:val="18"/>
                <w:szCs w:val="18"/>
              </w:rPr>
              <w:t>0</w:t>
            </w:r>
            <w:r w:rsidRPr="007E0530">
              <w:rPr>
                <w:sz w:val="18"/>
                <w:szCs w:val="18"/>
              </w:rPr>
              <w:t xml:space="preserve"> </w:t>
            </w:r>
          </w:p>
        </w:tc>
      </w:tr>
      <w:tr w:rsidR="001030FC" w:rsidRPr="00CD11DE" w14:paraId="68FE895D" w14:textId="77777777" w:rsidTr="006F3279">
        <w:trPr>
          <w:trHeight w:val="282"/>
        </w:trPr>
        <w:tc>
          <w:tcPr>
            <w:tcW w:w="696" w:type="pct"/>
            <w:shd w:val="clear" w:color="auto" w:fill="06B1D6" w:themeFill="accent1"/>
            <w:vAlign w:val="center"/>
            <w:hideMark/>
          </w:tcPr>
          <w:p w14:paraId="174C965F"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 assets</w:t>
            </w:r>
          </w:p>
        </w:tc>
        <w:tc>
          <w:tcPr>
            <w:tcW w:w="553" w:type="pct"/>
            <w:shd w:val="clear" w:color="auto" w:fill="auto"/>
            <w:noWrap/>
          </w:tcPr>
          <w:p w14:paraId="70316B83" w14:textId="41286962" w:rsidR="001030FC" w:rsidRPr="001030FC" w:rsidRDefault="001030FC" w:rsidP="001030FC">
            <w:pPr>
              <w:keepLines w:val="0"/>
              <w:spacing w:after="0" w:line="240" w:lineRule="auto"/>
              <w:jc w:val="right"/>
              <w:rPr>
                <w:sz w:val="18"/>
                <w:szCs w:val="18"/>
              </w:rPr>
            </w:pPr>
            <w:r w:rsidRPr="007E0530">
              <w:rPr>
                <w:sz w:val="18"/>
                <w:szCs w:val="18"/>
              </w:rPr>
              <w:t xml:space="preserve"> 1.1 </w:t>
            </w:r>
          </w:p>
        </w:tc>
        <w:tc>
          <w:tcPr>
            <w:tcW w:w="554" w:type="pct"/>
            <w:shd w:val="clear" w:color="auto" w:fill="auto"/>
            <w:noWrap/>
          </w:tcPr>
          <w:p w14:paraId="32F678DA" w14:textId="465FB269"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34870B34" w14:textId="604C4FDE"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3BC592B9" w14:textId="6AA0DCCD"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259A8BF7" w14:textId="3843868E"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34F84485" w14:textId="070549AA" w:rsidR="001030FC" w:rsidRPr="001030FC" w:rsidRDefault="001030FC" w:rsidP="001030FC">
            <w:pPr>
              <w:keepLines w:val="0"/>
              <w:spacing w:after="0" w:line="240" w:lineRule="auto"/>
              <w:jc w:val="right"/>
              <w:rPr>
                <w:sz w:val="18"/>
                <w:szCs w:val="18"/>
              </w:rPr>
            </w:pPr>
            <w:r w:rsidRPr="007E0530">
              <w:rPr>
                <w:sz w:val="18"/>
                <w:szCs w:val="18"/>
              </w:rPr>
              <w:t xml:space="preserve"> 4</w:t>
            </w:r>
            <w:r w:rsidR="008E0509">
              <w:rPr>
                <w:sz w:val="18"/>
                <w:szCs w:val="18"/>
              </w:rPr>
              <w:t>1.4</w:t>
            </w:r>
            <w:r w:rsidRPr="007E0530">
              <w:rPr>
                <w:sz w:val="18"/>
                <w:szCs w:val="18"/>
              </w:rPr>
              <w:t xml:space="preserve"> </w:t>
            </w:r>
          </w:p>
        </w:tc>
        <w:tc>
          <w:tcPr>
            <w:tcW w:w="498" w:type="pct"/>
            <w:shd w:val="clear" w:color="auto" w:fill="auto"/>
            <w:noWrap/>
          </w:tcPr>
          <w:p w14:paraId="3369683A" w14:textId="70E7A977"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84" w:type="pct"/>
            <w:shd w:val="clear" w:color="auto" w:fill="auto"/>
            <w:noWrap/>
          </w:tcPr>
          <w:p w14:paraId="6DD03E9A" w14:textId="4AEB64DA" w:rsidR="001030FC" w:rsidRPr="001030FC" w:rsidRDefault="001030FC" w:rsidP="001030FC">
            <w:pPr>
              <w:keepLines w:val="0"/>
              <w:spacing w:after="0" w:line="240" w:lineRule="auto"/>
              <w:jc w:val="right"/>
              <w:rPr>
                <w:sz w:val="18"/>
                <w:szCs w:val="18"/>
              </w:rPr>
            </w:pPr>
            <w:r w:rsidRPr="007E0530">
              <w:rPr>
                <w:sz w:val="18"/>
                <w:szCs w:val="18"/>
              </w:rPr>
              <w:t xml:space="preserve"> 4</w:t>
            </w:r>
            <w:r w:rsidR="008E0509">
              <w:rPr>
                <w:sz w:val="18"/>
                <w:szCs w:val="18"/>
              </w:rPr>
              <w:t>2.5</w:t>
            </w:r>
            <w:r w:rsidRPr="007E0530">
              <w:rPr>
                <w:sz w:val="18"/>
                <w:szCs w:val="18"/>
              </w:rPr>
              <w:t xml:space="preserve"> </w:t>
            </w:r>
          </w:p>
        </w:tc>
      </w:tr>
      <w:tr w:rsidR="001030FC" w:rsidRPr="00CD11DE" w14:paraId="6D92AFA2" w14:textId="77777777" w:rsidTr="006F3279">
        <w:trPr>
          <w:trHeight w:val="282"/>
        </w:trPr>
        <w:tc>
          <w:tcPr>
            <w:tcW w:w="696" w:type="pct"/>
            <w:shd w:val="clear" w:color="auto" w:fill="06B1D6" w:themeFill="accent1"/>
            <w:vAlign w:val="center"/>
          </w:tcPr>
          <w:p w14:paraId="07E89286"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553" w:type="pct"/>
            <w:shd w:val="clear" w:color="auto" w:fill="auto"/>
            <w:noWrap/>
          </w:tcPr>
          <w:p w14:paraId="0049DB13" w14:textId="4388CEEC"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2C662AD1" w14:textId="72770867"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66854F45" w14:textId="5B8A3AFF"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233EECE6" w14:textId="610631E9" w:rsidR="001030FC" w:rsidRPr="001030FC" w:rsidRDefault="001030FC" w:rsidP="001030FC">
            <w:pPr>
              <w:keepLines w:val="0"/>
              <w:spacing w:after="0" w:line="240" w:lineRule="auto"/>
              <w:jc w:val="right"/>
              <w:rPr>
                <w:sz w:val="18"/>
                <w:szCs w:val="18"/>
              </w:rPr>
            </w:pPr>
            <w:r w:rsidRPr="007E0530">
              <w:rPr>
                <w:sz w:val="18"/>
                <w:szCs w:val="18"/>
              </w:rPr>
              <w:t xml:space="preserve"> 6.2 </w:t>
            </w:r>
          </w:p>
        </w:tc>
        <w:tc>
          <w:tcPr>
            <w:tcW w:w="554" w:type="pct"/>
            <w:shd w:val="clear" w:color="auto" w:fill="auto"/>
            <w:noWrap/>
          </w:tcPr>
          <w:p w14:paraId="4012FD6F" w14:textId="45B5995A"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554" w:type="pct"/>
            <w:shd w:val="clear" w:color="auto" w:fill="auto"/>
            <w:noWrap/>
          </w:tcPr>
          <w:p w14:paraId="339168E9" w14:textId="62C8E623"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98" w:type="pct"/>
            <w:shd w:val="clear" w:color="auto" w:fill="auto"/>
            <w:noWrap/>
          </w:tcPr>
          <w:p w14:paraId="6C728776" w14:textId="5031C1C1" w:rsidR="001030FC" w:rsidRPr="001030FC" w:rsidRDefault="001030FC" w:rsidP="001030FC">
            <w:pPr>
              <w:keepLines w:val="0"/>
              <w:spacing w:after="0" w:line="240" w:lineRule="auto"/>
              <w:jc w:val="right"/>
              <w:rPr>
                <w:sz w:val="18"/>
                <w:szCs w:val="18"/>
              </w:rPr>
            </w:pPr>
            <w:r w:rsidRPr="007E0530">
              <w:rPr>
                <w:sz w:val="18"/>
                <w:szCs w:val="18"/>
              </w:rPr>
              <w:t xml:space="preserve"> -   </w:t>
            </w:r>
          </w:p>
        </w:tc>
        <w:tc>
          <w:tcPr>
            <w:tcW w:w="484" w:type="pct"/>
            <w:shd w:val="clear" w:color="auto" w:fill="auto"/>
            <w:noWrap/>
          </w:tcPr>
          <w:p w14:paraId="00C3AB63" w14:textId="1FE2D851" w:rsidR="001030FC" w:rsidRPr="001030FC" w:rsidRDefault="001030FC" w:rsidP="001030FC">
            <w:pPr>
              <w:keepLines w:val="0"/>
              <w:spacing w:after="0" w:line="240" w:lineRule="auto"/>
              <w:jc w:val="right"/>
              <w:rPr>
                <w:sz w:val="18"/>
                <w:szCs w:val="18"/>
              </w:rPr>
            </w:pPr>
            <w:r w:rsidRPr="007E0530">
              <w:rPr>
                <w:sz w:val="18"/>
                <w:szCs w:val="18"/>
              </w:rPr>
              <w:t xml:space="preserve"> 6.2 </w:t>
            </w:r>
          </w:p>
        </w:tc>
      </w:tr>
      <w:tr w:rsidR="001030FC" w:rsidRPr="00CD11DE" w14:paraId="714F848B" w14:textId="77777777" w:rsidTr="006F3279">
        <w:trPr>
          <w:trHeight w:val="282"/>
        </w:trPr>
        <w:tc>
          <w:tcPr>
            <w:tcW w:w="696" w:type="pct"/>
            <w:shd w:val="clear" w:color="auto" w:fill="06B1D6" w:themeFill="accent1"/>
            <w:vAlign w:val="center"/>
            <w:hideMark/>
          </w:tcPr>
          <w:p w14:paraId="2F68BC4F" w14:textId="77777777" w:rsidR="001030FC" w:rsidRPr="00CD11DE" w:rsidRDefault="001030FC" w:rsidP="001030F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553" w:type="pct"/>
            <w:shd w:val="clear" w:color="auto" w:fill="auto"/>
            <w:noWrap/>
          </w:tcPr>
          <w:p w14:paraId="600CFBA3" w14:textId="5C914EAD" w:rsidR="001030FC" w:rsidRPr="001030FC" w:rsidRDefault="001030FC" w:rsidP="001030FC">
            <w:pPr>
              <w:keepLines w:val="0"/>
              <w:spacing w:after="0" w:line="240" w:lineRule="auto"/>
              <w:jc w:val="right"/>
              <w:rPr>
                <w:b/>
                <w:bCs/>
                <w:sz w:val="18"/>
                <w:szCs w:val="18"/>
              </w:rPr>
            </w:pPr>
            <w:r w:rsidRPr="007E0530">
              <w:rPr>
                <w:b/>
                <w:bCs/>
                <w:sz w:val="18"/>
                <w:szCs w:val="18"/>
              </w:rPr>
              <w:t xml:space="preserve"> 140.5 </w:t>
            </w:r>
          </w:p>
        </w:tc>
        <w:tc>
          <w:tcPr>
            <w:tcW w:w="554" w:type="pct"/>
            <w:shd w:val="clear" w:color="auto" w:fill="auto"/>
            <w:noWrap/>
          </w:tcPr>
          <w:p w14:paraId="6D1E8D5B" w14:textId="61B1CD92" w:rsidR="001030FC" w:rsidRPr="001030FC" w:rsidRDefault="001030FC" w:rsidP="001030FC">
            <w:pPr>
              <w:keepLines w:val="0"/>
              <w:spacing w:after="0" w:line="240" w:lineRule="auto"/>
              <w:jc w:val="right"/>
              <w:rPr>
                <w:b/>
                <w:bCs/>
                <w:sz w:val="18"/>
                <w:szCs w:val="18"/>
              </w:rPr>
            </w:pPr>
            <w:r w:rsidRPr="007E0530">
              <w:rPr>
                <w:b/>
                <w:bCs/>
                <w:sz w:val="18"/>
                <w:szCs w:val="18"/>
              </w:rPr>
              <w:t xml:space="preserve"> 2</w:t>
            </w:r>
            <w:r w:rsidR="008E0509">
              <w:rPr>
                <w:b/>
                <w:bCs/>
                <w:sz w:val="18"/>
                <w:szCs w:val="18"/>
              </w:rPr>
              <w:t>53.6</w:t>
            </w:r>
            <w:r w:rsidRPr="007E0530">
              <w:rPr>
                <w:b/>
                <w:bCs/>
                <w:sz w:val="18"/>
                <w:szCs w:val="18"/>
              </w:rPr>
              <w:t xml:space="preserve"> </w:t>
            </w:r>
          </w:p>
        </w:tc>
        <w:tc>
          <w:tcPr>
            <w:tcW w:w="554" w:type="pct"/>
            <w:shd w:val="clear" w:color="auto" w:fill="auto"/>
            <w:noWrap/>
          </w:tcPr>
          <w:p w14:paraId="4821C08A" w14:textId="0E32242F" w:rsidR="001030FC" w:rsidRPr="001030FC" w:rsidRDefault="001030FC" w:rsidP="001030FC">
            <w:pPr>
              <w:keepLines w:val="0"/>
              <w:spacing w:after="0" w:line="240" w:lineRule="auto"/>
              <w:jc w:val="right"/>
              <w:rPr>
                <w:b/>
                <w:bCs/>
                <w:sz w:val="18"/>
                <w:szCs w:val="18"/>
              </w:rPr>
            </w:pPr>
            <w:r w:rsidRPr="007E0530">
              <w:rPr>
                <w:b/>
                <w:bCs/>
                <w:sz w:val="18"/>
                <w:szCs w:val="18"/>
              </w:rPr>
              <w:t xml:space="preserve"> 1,79</w:t>
            </w:r>
            <w:r w:rsidR="008E0509">
              <w:rPr>
                <w:b/>
                <w:bCs/>
                <w:sz w:val="18"/>
                <w:szCs w:val="18"/>
              </w:rPr>
              <w:t>8.2</w:t>
            </w:r>
            <w:r w:rsidRPr="007E0530">
              <w:rPr>
                <w:b/>
                <w:bCs/>
                <w:sz w:val="18"/>
                <w:szCs w:val="18"/>
              </w:rPr>
              <w:t xml:space="preserve"> </w:t>
            </w:r>
          </w:p>
        </w:tc>
        <w:tc>
          <w:tcPr>
            <w:tcW w:w="554" w:type="pct"/>
            <w:shd w:val="clear" w:color="auto" w:fill="auto"/>
            <w:noWrap/>
          </w:tcPr>
          <w:p w14:paraId="51E437F0" w14:textId="66E42C57" w:rsidR="001030FC" w:rsidRPr="001030FC" w:rsidRDefault="001030FC" w:rsidP="001030FC">
            <w:pPr>
              <w:keepLines w:val="0"/>
              <w:spacing w:after="0" w:line="240" w:lineRule="auto"/>
              <w:jc w:val="right"/>
              <w:rPr>
                <w:b/>
                <w:bCs/>
                <w:sz w:val="18"/>
                <w:szCs w:val="18"/>
              </w:rPr>
            </w:pPr>
            <w:r w:rsidRPr="007E0530">
              <w:rPr>
                <w:b/>
                <w:bCs/>
                <w:sz w:val="18"/>
                <w:szCs w:val="18"/>
              </w:rPr>
              <w:t xml:space="preserve"> </w:t>
            </w:r>
            <w:r w:rsidR="008E0509">
              <w:rPr>
                <w:b/>
                <w:bCs/>
                <w:sz w:val="18"/>
                <w:szCs w:val="18"/>
              </w:rPr>
              <w:t>313.5</w:t>
            </w:r>
            <w:r w:rsidRPr="007E0530">
              <w:rPr>
                <w:b/>
                <w:bCs/>
                <w:sz w:val="18"/>
                <w:szCs w:val="18"/>
              </w:rPr>
              <w:t xml:space="preserve"> </w:t>
            </w:r>
          </w:p>
        </w:tc>
        <w:tc>
          <w:tcPr>
            <w:tcW w:w="554" w:type="pct"/>
            <w:shd w:val="clear" w:color="auto" w:fill="auto"/>
            <w:noWrap/>
          </w:tcPr>
          <w:p w14:paraId="3B42C8CE" w14:textId="5A85E896" w:rsidR="001030FC" w:rsidRPr="001030FC" w:rsidRDefault="001030FC" w:rsidP="001030FC">
            <w:pPr>
              <w:keepLines w:val="0"/>
              <w:spacing w:after="0" w:line="240" w:lineRule="auto"/>
              <w:jc w:val="right"/>
              <w:rPr>
                <w:b/>
                <w:bCs/>
                <w:sz w:val="18"/>
                <w:szCs w:val="18"/>
              </w:rPr>
            </w:pPr>
            <w:r w:rsidRPr="007E0530">
              <w:rPr>
                <w:b/>
                <w:bCs/>
                <w:sz w:val="18"/>
                <w:szCs w:val="18"/>
              </w:rPr>
              <w:t xml:space="preserve"> 0.1 </w:t>
            </w:r>
          </w:p>
        </w:tc>
        <w:tc>
          <w:tcPr>
            <w:tcW w:w="554" w:type="pct"/>
            <w:shd w:val="clear" w:color="auto" w:fill="auto"/>
            <w:noWrap/>
          </w:tcPr>
          <w:p w14:paraId="0C1E5FC8" w14:textId="3C849E0B" w:rsidR="001030FC" w:rsidRPr="001030FC" w:rsidRDefault="001030FC" w:rsidP="001030FC">
            <w:pPr>
              <w:keepLines w:val="0"/>
              <w:spacing w:after="0" w:line="240" w:lineRule="auto"/>
              <w:jc w:val="right"/>
              <w:rPr>
                <w:b/>
                <w:bCs/>
                <w:sz w:val="18"/>
                <w:szCs w:val="18"/>
              </w:rPr>
            </w:pPr>
            <w:r w:rsidRPr="007E0530">
              <w:rPr>
                <w:b/>
                <w:bCs/>
                <w:sz w:val="18"/>
                <w:szCs w:val="18"/>
              </w:rPr>
              <w:t xml:space="preserve"> 32</w:t>
            </w:r>
            <w:r w:rsidR="008E0509">
              <w:rPr>
                <w:b/>
                <w:bCs/>
                <w:sz w:val="18"/>
                <w:szCs w:val="18"/>
              </w:rPr>
              <w:t>5.7</w:t>
            </w:r>
            <w:r w:rsidRPr="007E0530">
              <w:rPr>
                <w:b/>
                <w:bCs/>
                <w:sz w:val="18"/>
                <w:szCs w:val="18"/>
              </w:rPr>
              <w:t xml:space="preserve"> </w:t>
            </w:r>
          </w:p>
        </w:tc>
        <w:tc>
          <w:tcPr>
            <w:tcW w:w="498" w:type="pct"/>
            <w:shd w:val="clear" w:color="auto" w:fill="auto"/>
            <w:noWrap/>
          </w:tcPr>
          <w:p w14:paraId="044D2013" w14:textId="646D3BC9" w:rsidR="001030FC" w:rsidRPr="001030FC" w:rsidRDefault="001030FC" w:rsidP="001030FC">
            <w:pPr>
              <w:keepLines w:val="0"/>
              <w:spacing w:after="0" w:line="240" w:lineRule="auto"/>
              <w:jc w:val="right"/>
              <w:rPr>
                <w:b/>
                <w:bCs/>
                <w:sz w:val="18"/>
                <w:szCs w:val="18"/>
              </w:rPr>
            </w:pPr>
            <w:r w:rsidRPr="007E0530">
              <w:rPr>
                <w:b/>
                <w:bCs/>
                <w:sz w:val="18"/>
                <w:szCs w:val="18"/>
              </w:rPr>
              <w:t xml:space="preserve"> 16.</w:t>
            </w:r>
            <w:r w:rsidR="008E0509">
              <w:rPr>
                <w:b/>
                <w:bCs/>
                <w:sz w:val="18"/>
                <w:szCs w:val="18"/>
              </w:rPr>
              <w:t>4</w:t>
            </w:r>
            <w:r w:rsidRPr="007E0530">
              <w:rPr>
                <w:b/>
                <w:bCs/>
                <w:sz w:val="18"/>
                <w:szCs w:val="18"/>
              </w:rPr>
              <w:t xml:space="preserve"> </w:t>
            </w:r>
          </w:p>
        </w:tc>
        <w:tc>
          <w:tcPr>
            <w:tcW w:w="484" w:type="pct"/>
            <w:shd w:val="clear" w:color="auto" w:fill="auto"/>
            <w:noWrap/>
          </w:tcPr>
          <w:p w14:paraId="1DD43705" w14:textId="57581860" w:rsidR="001030FC" w:rsidRPr="001030FC" w:rsidRDefault="001030FC" w:rsidP="001030FC">
            <w:pPr>
              <w:keepLines w:val="0"/>
              <w:spacing w:after="0" w:line="240" w:lineRule="auto"/>
              <w:jc w:val="right"/>
              <w:rPr>
                <w:b/>
                <w:bCs/>
                <w:sz w:val="18"/>
                <w:szCs w:val="18"/>
              </w:rPr>
            </w:pPr>
            <w:r w:rsidRPr="007E0530">
              <w:rPr>
                <w:b/>
                <w:bCs/>
                <w:sz w:val="18"/>
                <w:szCs w:val="18"/>
              </w:rPr>
              <w:t xml:space="preserve"> 2,8</w:t>
            </w:r>
            <w:r w:rsidR="008E0509">
              <w:rPr>
                <w:b/>
                <w:bCs/>
                <w:sz w:val="18"/>
                <w:szCs w:val="18"/>
              </w:rPr>
              <w:t>48.0</w:t>
            </w:r>
            <w:r w:rsidRPr="007E0530">
              <w:rPr>
                <w:b/>
                <w:bCs/>
                <w:sz w:val="18"/>
                <w:szCs w:val="18"/>
              </w:rPr>
              <w:t xml:space="preserve"> </w:t>
            </w:r>
          </w:p>
        </w:tc>
      </w:tr>
    </w:tbl>
    <w:p w14:paraId="3D9EF029" w14:textId="77777777" w:rsidR="0000514A" w:rsidRPr="00CD11DE" w:rsidRDefault="0000514A" w:rsidP="0000514A"/>
    <w:p w14:paraId="2939BFF5" w14:textId="064D9158" w:rsidR="009E50E7" w:rsidRPr="00CD11DE" w:rsidRDefault="009E50E7"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13</w:t>
      </w:r>
      <w:r w:rsidRPr="00CD11DE">
        <w:fldChar w:fldCharType="end"/>
      </w:r>
      <w:r w:rsidRPr="00CD11DE">
        <w:t xml:space="preserve">: 31 December </w:t>
      </w:r>
      <w:r w:rsidR="0023087C">
        <w:t>2023</w:t>
      </w:r>
      <w:r w:rsidRPr="00CD11DE">
        <w:t xml:space="preserve"> Standardised Approach by risk weight percentage (£m)</w:t>
      </w:r>
    </w:p>
    <w:tbl>
      <w:tblPr>
        <w:tblpPr w:leftFromText="180" w:rightFromText="180" w:vertAnchor="text" w:horzAnchor="margin" w:tblpYSpec="to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004"/>
        <w:gridCol w:w="1004"/>
        <w:gridCol w:w="1004"/>
        <w:gridCol w:w="1004"/>
        <w:gridCol w:w="1004"/>
        <w:gridCol w:w="1004"/>
        <w:gridCol w:w="812"/>
        <w:gridCol w:w="838"/>
      </w:tblGrid>
      <w:tr w:rsidR="00041BD0" w:rsidRPr="00CD11DE" w14:paraId="71AB5735" w14:textId="77777777" w:rsidTr="006F3279">
        <w:trPr>
          <w:trHeight w:val="282"/>
        </w:trPr>
        <w:tc>
          <w:tcPr>
            <w:tcW w:w="749" w:type="pct"/>
            <w:shd w:val="clear" w:color="auto" w:fill="06B1D6" w:themeFill="accent1"/>
            <w:vAlign w:val="center"/>
            <w:hideMark/>
          </w:tcPr>
          <w:p w14:paraId="0C646C79" w14:textId="77777777" w:rsidR="0000514A" w:rsidRPr="00CD11DE" w:rsidRDefault="0000514A" w:rsidP="00C1159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556" w:type="pct"/>
            <w:shd w:val="clear" w:color="auto" w:fill="06B1D6" w:themeFill="accent1"/>
            <w:vAlign w:val="center"/>
            <w:hideMark/>
          </w:tcPr>
          <w:p w14:paraId="03A20825"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0%</w:t>
            </w:r>
          </w:p>
        </w:tc>
        <w:tc>
          <w:tcPr>
            <w:tcW w:w="556" w:type="pct"/>
            <w:shd w:val="clear" w:color="auto" w:fill="06B1D6" w:themeFill="accent1"/>
            <w:vAlign w:val="center"/>
            <w:hideMark/>
          </w:tcPr>
          <w:p w14:paraId="7A1F3107"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20%</w:t>
            </w:r>
          </w:p>
        </w:tc>
        <w:tc>
          <w:tcPr>
            <w:tcW w:w="556" w:type="pct"/>
            <w:shd w:val="clear" w:color="auto" w:fill="06B1D6" w:themeFill="accent1"/>
            <w:vAlign w:val="center"/>
            <w:hideMark/>
          </w:tcPr>
          <w:p w14:paraId="19A8E596"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35%</w:t>
            </w:r>
          </w:p>
        </w:tc>
        <w:tc>
          <w:tcPr>
            <w:tcW w:w="556" w:type="pct"/>
            <w:shd w:val="clear" w:color="auto" w:fill="06B1D6" w:themeFill="accent1"/>
            <w:vAlign w:val="center"/>
            <w:hideMark/>
          </w:tcPr>
          <w:p w14:paraId="7F7C71B2"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50%</w:t>
            </w:r>
          </w:p>
        </w:tc>
        <w:tc>
          <w:tcPr>
            <w:tcW w:w="556" w:type="pct"/>
            <w:shd w:val="clear" w:color="auto" w:fill="06B1D6" w:themeFill="accent1"/>
            <w:vAlign w:val="center"/>
            <w:hideMark/>
          </w:tcPr>
          <w:p w14:paraId="6422C16F"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75%</w:t>
            </w:r>
          </w:p>
        </w:tc>
        <w:tc>
          <w:tcPr>
            <w:tcW w:w="556" w:type="pct"/>
            <w:shd w:val="clear" w:color="auto" w:fill="06B1D6" w:themeFill="accent1"/>
            <w:vAlign w:val="center"/>
            <w:hideMark/>
          </w:tcPr>
          <w:p w14:paraId="24639E43"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100%</w:t>
            </w:r>
          </w:p>
        </w:tc>
        <w:tc>
          <w:tcPr>
            <w:tcW w:w="450" w:type="pct"/>
            <w:shd w:val="clear" w:color="auto" w:fill="06B1D6" w:themeFill="accent1"/>
            <w:vAlign w:val="center"/>
            <w:hideMark/>
          </w:tcPr>
          <w:p w14:paraId="1CBB2923"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150%</w:t>
            </w:r>
          </w:p>
        </w:tc>
        <w:tc>
          <w:tcPr>
            <w:tcW w:w="464" w:type="pct"/>
            <w:shd w:val="clear" w:color="auto" w:fill="06B1D6" w:themeFill="accent1"/>
            <w:vAlign w:val="center"/>
            <w:hideMark/>
          </w:tcPr>
          <w:p w14:paraId="5325F16A" w14:textId="77777777" w:rsidR="0000514A" w:rsidRPr="00CD11DE" w:rsidRDefault="0000514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p>
        </w:tc>
      </w:tr>
      <w:tr w:rsidR="0016685E" w:rsidRPr="00CD11DE" w14:paraId="0763C6EE" w14:textId="77777777" w:rsidTr="006F3279">
        <w:trPr>
          <w:trHeight w:val="282"/>
        </w:trPr>
        <w:tc>
          <w:tcPr>
            <w:tcW w:w="749" w:type="pct"/>
            <w:shd w:val="clear" w:color="auto" w:fill="06B1D6" w:themeFill="accent1"/>
            <w:vAlign w:val="center"/>
            <w:hideMark/>
          </w:tcPr>
          <w:p w14:paraId="553D7514"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w:t>
            </w:r>
          </w:p>
        </w:tc>
        <w:tc>
          <w:tcPr>
            <w:tcW w:w="556" w:type="pct"/>
            <w:shd w:val="clear" w:color="auto" w:fill="auto"/>
            <w:noWrap/>
            <w:vAlign w:val="center"/>
            <w:hideMark/>
          </w:tcPr>
          <w:p w14:paraId="31C15E9A" w14:textId="68CD9157" w:rsidR="0016685E" w:rsidRPr="00CD11DE" w:rsidRDefault="0016685E" w:rsidP="0016685E">
            <w:pPr>
              <w:keepLines w:val="0"/>
              <w:spacing w:after="0" w:line="240" w:lineRule="auto"/>
              <w:jc w:val="right"/>
              <w:rPr>
                <w:rFonts w:eastAsia="Times New Roman"/>
                <w:sz w:val="18"/>
                <w:szCs w:val="18"/>
              </w:rPr>
            </w:pPr>
            <w:r w:rsidRPr="00CD11DE">
              <w:rPr>
                <w:sz w:val="18"/>
                <w:szCs w:val="18"/>
              </w:rPr>
              <w:t>104.0</w:t>
            </w:r>
          </w:p>
        </w:tc>
        <w:tc>
          <w:tcPr>
            <w:tcW w:w="556" w:type="pct"/>
            <w:shd w:val="clear" w:color="auto" w:fill="auto"/>
            <w:noWrap/>
            <w:vAlign w:val="center"/>
            <w:hideMark/>
          </w:tcPr>
          <w:p w14:paraId="625707B8" w14:textId="314DB589" w:rsidR="0016685E" w:rsidRPr="00CD11DE" w:rsidRDefault="0016685E" w:rsidP="0016685E">
            <w:pPr>
              <w:keepLines w:val="0"/>
              <w:spacing w:after="0" w:line="240" w:lineRule="auto"/>
              <w:jc w:val="right"/>
              <w:rPr>
                <w:rFonts w:eastAsia="Times New Roman"/>
                <w:sz w:val="18"/>
                <w:szCs w:val="18"/>
              </w:rPr>
            </w:pPr>
            <w:r w:rsidRPr="00CD11DE">
              <w:rPr>
                <w:sz w:val="18"/>
                <w:szCs w:val="18"/>
              </w:rPr>
              <w:t>180.5</w:t>
            </w:r>
          </w:p>
        </w:tc>
        <w:tc>
          <w:tcPr>
            <w:tcW w:w="556" w:type="pct"/>
            <w:shd w:val="clear" w:color="auto" w:fill="auto"/>
            <w:noWrap/>
            <w:vAlign w:val="center"/>
            <w:hideMark/>
          </w:tcPr>
          <w:p w14:paraId="3FD00C83" w14:textId="0D3A1713"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2B7CE24C" w14:textId="0893E043" w:rsidR="0016685E" w:rsidRPr="00CD11DE" w:rsidRDefault="0016685E" w:rsidP="0016685E">
            <w:pPr>
              <w:keepLines w:val="0"/>
              <w:spacing w:after="0" w:line="240" w:lineRule="auto"/>
              <w:jc w:val="right"/>
              <w:rPr>
                <w:rFonts w:eastAsia="Times New Roman"/>
                <w:sz w:val="18"/>
                <w:szCs w:val="18"/>
              </w:rPr>
            </w:pPr>
            <w:r w:rsidRPr="00CD11DE">
              <w:rPr>
                <w:sz w:val="18"/>
                <w:szCs w:val="18"/>
              </w:rPr>
              <w:t>117.1</w:t>
            </w:r>
          </w:p>
        </w:tc>
        <w:tc>
          <w:tcPr>
            <w:tcW w:w="556" w:type="pct"/>
            <w:shd w:val="clear" w:color="auto" w:fill="auto"/>
            <w:noWrap/>
            <w:vAlign w:val="center"/>
            <w:hideMark/>
          </w:tcPr>
          <w:p w14:paraId="710235E1" w14:textId="2C0F3233"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7CD9E262" w14:textId="5E05896B"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50" w:type="pct"/>
            <w:shd w:val="clear" w:color="auto" w:fill="auto"/>
            <w:noWrap/>
            <w:vAlign w:val="center"/>
            <w:hideMark/>
          </w:tcPr>
          <w:p w14:paraId="4DCECE4D" w14:textId="1575C53C"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64" w:type="pct"/>
            <w:shd w:val="clear" w:color="auto" w:fill="auto"/>
            <w:noWrap/>
            <w:vAlign w:val="center"/>
            <w:hideMark/>
          </w:tcPr>
          <w:p w14:paraId="11CD2DD4" w14:textId="621C4FD5" w:rsidR="0016685E" w:rsidRPr="00CD11DE" w:rsidRDefault="0016685E" w:rsidP="0016685E">
            <w:pPr>
              <w:keepLines w:val="0"/>
              <w:spacing w:after="0" w:line="240" w:lineRule="auto"/>
              <w:jc w:val="right"/>
              <w:rPr>
                <w:rFonts w:eastAsia="Times New Roman"/>
                <w:b/>
                <w:sz w:val="18"/>
                <w:szCs w:val="18"/>
              </w:rPr>
            </w:pPr>
            <w:r w:rsidRPr="00CD11DE">
              <w:rPr>
                <w:sz w:val="18"/>
                <w:szCs w:val="18"/>
              </w:rPr>
              <w:t>401.6</w:t>
            </w:r>
          </w:p>
        </w:tc>
      </w:tr>
      <w:tr w:rsidR="0016685E" w:rsidRPr="00CD11DE" w14:paraId="703D35B0" w14:textId="77777777" w:rsidTr="006F3279">
        <w:trPr>
          <w:trHeight w:val="282"/>
        </w:trPr>
        <w:tc>
          <w:tcPr>
            <w:tcW w:w="749" w:type="pct"/>
            <w:shd w:val="clear" w:color="auto" w:fill="06B1D6" w:themeFill="accent1"/>
            <w:vAlign w:val="center"/>
            <w:hideMark/>
          </w:tcPr>
          <w:p w14:paraId="19D352AF"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556" w:type="pct"/>
            <w:shd w:val="clear" w:color="auto" w:fill="auto"/>
            <w:noWrap/>
            <w:vAlign w:val="center"/>
            <w:hideMark/>
          </w:tcPr>
          <w:p w14:paraId="5B17BC38" w14:textId="732F91B1" w:rsidR="0016685E" w:rsidRPr="00CD11DE" w:rsidRDefault="0016685E" w:rsidP="0016685E">
            <w:pPr>
              <w:keepLines w:val="0"/>
              <w:spacing w:after="0" w:line="240" w:lineRule="auto"/>
              <w:jc w:val="right"/>
              <w:rPr>
                <w:rFonts w:eastAsia="Times New Roman"/>
                <w:sz w:val="18"/>
                <w:szCs w:val="18"/>
              </w:rPr>
            </w:pPr>
            <w:r w:rsidRPr="00CD11DE">
              <w:rPr>
                <w:sz w:val="18"/>
                <w:szCs w:val="18"/>
              </w:rPr>
              <w:t>54.6</w:t>
            </w:r>
          </w:p>
        </w:tc>
        <w:tc>
          <w:tcPr>
            <w:tcW w:w="556" w:type="pct"/>
            <w:shd w:val="clear" w:color="auto" w:fill="auto"/>
            <w:noWrap/>
            <w:vAlign w:val="center"/>
            <w:hideMark/>
          </w:tcPr>
          <w:p w14:paraId="389C9679" w14:textId="02F5220D" w:rsidR="0016685E" w:rsidRPr="00CD11DE" w:rsidRDefault="0016685E" w:rsidP="0016685E">
            <w:pPr>
              <w:keepLines w:val="0"/>
              <w:spacing w:after="0" w:line="240" w:lineRule="auto"/>
              <w:jc w:val="right"/>
              <w:rPr>
                <w:rFonts w:eastAsia="Times New Roman"/>
                <w:sz w:val="18"/>
                <w:szCs w:val="18"/>
              </w:rPr>
            </w:pPr>
            <w:r w:rsidRPr="00CD11DE">
              <w:rPr>
                <w:sz w:val="18"/>
                <w:szCs w:val="18"/>
              </w:rPr>
              <w:t>94.1</w:t>
            </w:r>
          </w:p>
        </w:tc>
        <w:tc>
          <w:tcPr>
            <w:tcW w:w="556" w:type="pct"/>
            <w:shd w:val="clear" w:color="auto" w:fill="auto"/>
            <w:noWrap/>
            <w:vAlign w:val="center"/>
            <w:hideMark/>
          </w:tcPr>
          <w:p w14:paraId="6A456989" w14:textId="1127EBD2"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03EE94D9" w14:textId="438E9961"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72D107C5" w14:textId="509EF0A9"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58240095" w14:textId="7C8355BD"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50" w:type="pct"/>
            <w:shd w:val="clear" w:color="auto" w:fill="auto"/>
            <w:noWrap/>
            <w:vAlign w:val="center"/>
            <w:hideMark/>
          </w:tcPr>
          <w:p w14:paraId="7837433F" w14:textId="557D2566"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64" w:type="pct"/>
            <w:shd w:val="clear" w:color="auto" w:fill="auto"/>
            <w:noWrap/>
            <w:vAlign w:val="center"/>
            <w:hideMark/>
          </w:tcPr>
          <w:p w14:paraId="7B1BB009" w14:textId="3D10B011" w:rsidR="0016685E" w:rsidRPr="00CD11DE" w:rsidRDefault="0016685E" w:rsidP="0016685E">
            <w:pPr>
              <w:keepLines w:val="0"/>
              <w:spacing w:after="0" w:line="240" w:lineRule="auto"/>
              <w:jc w:val="right"/>
              <w:rPr>
                <w:rFonts w:eastAsia="Times New Roman"/>
                <w:b/>
                <w:sz w:val="18"/>
                <w:szCs w:val="18"/>
              </w:rPr>
            </w:pPr>
            <w:r w:rsidRPr="00CD11DE">
              <w:rPr>
                <w:sz w:val="18"/>
                <w:szCs w:val="18"/>
              </w:rPr>
              <w:t>148.7</w:t>
            </w:r>
          </w:p>
        </w:tc>
      </w:tr>
      <w:tr w:rsidR="0016685E" w:rsidRPr="00CD11DE" w14:paraId="4BB69DC8" w14:textId="77777777" w:rsidTr="006F3279">
        <w:trPr>
          <w:trHeight w:val="282"/>
        </w:trPr>
        <w:tc>
          <w:tcPr>
            <w:tcW w:w="749" w:type="pct"/>
            <w:shd w:val="clear" w:color="auto" w:fill="06B1D6" w:themeFill="accent1"/>
            <w:vAlign w:val="center"/>
            <w:hideMark/>
          </w:tcPr>
          <w:p w14:paraId="77419AD8"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556" w:type="pct"/>
            <w:shd w:val="clear" w:color="auto" w:fill="auto"/>
            <w:noWrap/>
            <w:vAlign w:val="center"/>
            <w:hideMark/>
          </w:tcPr>
          <w:p w14:paraId="2ADE3EB1" w14:textId="443F593D"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2B17C745" w14:textId="4D4F4390"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4A447A08" w14:textId="74DFD34F" w:rsidR="0016685E" w:rsidRPr="00CD11DE" w:rsidRDefault="0016685E" w:rsidP="0016685E">
            <w:pPr>
              <w:keepLines w:val="0"/>
              <w:spacing w:after="0" w:line="240" w:lineRule="auto"/>
              <w:jc w:val="right"/>
              <w:rPr>
                <w:rFonts w:eastAsia="Times New Roman"/>
                <w:sz w:val="18"/>
                <w:szCs w:val="18"/>
              </w:rPr>
            </w:pPr>
            <w:r w:rsidRPr="00CD11DE">
              <w:rPr>
                <w:sz w:val="18"/>
                <w:szCs w:val="18"/>
              </w:rPr>
              <w:t>973.0</w:t>
            </w:r>
          </w:p>
        </w:tc>
        <w:tc>
          <w:tcPr>
            <w:tcW w:w="556" w:type="pct"/>
            <w:shd w:val="clear" w:color="auto" w:fill="auto"/>
            <w:noWrap/>
            <w:vAlign w:val="center"/>
            <w:hideMark/>
          </w:tcPr>
          <w:p w14:paraId="400A6830" w14:textId="49BA8266"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6A4BC6C3" w14:textId="132950E9" w:rsidR="0016685E" w:rsidRPr="00CD11DE" w:rsidRDefault="0016685E" w:rsidP="0016685E">
            <w:pPr>
              <w:keepLines w:val="0"/>
              <w:spacing w:after="0" w:line="240" w:lineRule="auto"/>
              <w:jc w:val="right"/>
              <w:rPr>
                <w:rFonts w:eastAsia="Times New Roman"/>
                <w:sz w:val="18"/>
                <w:szCs w:val="18"/>
              </w:rPr>
            </w:pPr>
            <w:r w:rsidRPr="00CD11DE">
              <w:rPr>
                <w:sz w:val="18"/>
                <w:szCs w:val="18"/>
              </w:rPr>
              <w:t>0.3</w:t>
            </w:r>
          </w:p>
        </w:tc>
        <w:tc>
          <w:tcPr>
            <w:tcW w:w="556" w:type="pct"/>
            <w:shd w:val="clear" w:color="auto" w:fill="auto"/>
            <w:noWrap/>
            <w:vAlign w:val="center"/>
            <w:hideMark/>
          </w:tcPr>
          <w:p w14:paraId="7815120F" w14:textId="3311A38E" w:rsidR="0016685E" w:rsidRPr="00CD11DE" w:rsidRDefault="0016685E" w:rsidP="0016685E">
            <w:pPr>
              <w:keepLines w:val="0"/>
              <w:spacing w:after="0" w:line="240" w:lineRule="auto"/>
              <w:jc w:val="right"/>
              <w:rPr>
                <w:rFonts w:eastAsia="Times New Roman"/>
                <w:sz w:val="18"/>
                <w:szCs w:val="18"/>
              </w:rPr>
            </w:pPr>
            <w:r w:rsidRPr="00CD11DE">
              <w:rPr>
                <w:sz w:val="18"/>
                <w:szCs w:val="18"/>
              </w:rPr>
              <w:t>19.</w:t>
            </w:r>
            <w:r>
              <w:rPr>
                <w:sz w:val="18"/>
                <w:szCs w:val="18"/>
              </w:rPr>
              <w:t>8</w:t>
            </w:r>
          </w:p>
        </w:tc>
        <w:tc>
          <w:tcPr>
            <w:tcW w:w="450" w:type="pct"/>
            <w:shd w:val="clear" w:color="auto" w:fill="auto"/>
            <w:noWrap/>
            <w:vAlign w:val="center"/>
            <w:hideMark/>
          </w:tcPr>
          <w:p w14:paraId="5B62C6E1" w14:textId="46BC5F2B"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64" w:type="pct"/>
            <w:shd w:val="clear" w:color="auto" w:fill="auto"/>
            <w:noWrap/>
            <w:vAlign w:val="center"/>
            <w:hideMark/>
          </w:tcPr>
          <w:p w14:paraId="77748246" w14:textId="439BD3A1" w:rsidR="0016685E" w:rsidRPr="00CD11DE" w:rsidRDefault="0016685E" w:rsidP="0016685E">
            <w:pPr>
              <w:keepLines w:val="0"/>
              <w:spacing w:after="0" w:line="240" w:lineRule="auto"/>
              <w:jc w:val="right"/>
              <w:rPr>
                <w:rFonts w:eastAsia="Times New Roman"/>
                <w:b/>
                <w:sz w:val="18"/>
                <w:szCs w:val="18"/>
              </w:rPr>
            </w:pPr>
            <w:r w:rsidRPr="00CD11DE">
              <w:rPr>
                <w:sz w:val="18"/>
                <w:szCs w:val="18"/>
              </w:rPr>
              <w:t>993.1</w:t>
            </w:r>
          </w:p>
        </w:tc>
      </w:tr>
      <w:tr w:rsidR="0016685E" w:rsidRPr="00CD11DE" w14:paraId="15FD5443" w14:textId="77777777" w:rsidTr="006F3279">
        <w:trPr>
          <w:trHeight w:val="282"/>
        </w:trPr>
        <w:tc>
          <w:tcPr>
            <w:tcW w:w="749" w:type="pct"/>
            <w:shd w:val="clear" w:color="auto" w:fill="06B1D6" w:themeFill="accent1"/>
            <w:vAlign w:val="center"/>
            <w:hideMark/>
          </w:tcPr>
          <w:p w14:paraId="37CFE04B"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556" w:type="pct"/>
            <w:shd w:val="clear" w:color="auto" w:fill="auto"/>
            <w:noWrap/>
            <w:vAlign w:val="center"/>
            <w:hideMark/>
          </w:tcPr>
          <w:p w14:paraId="3CDC6088" w14:textId="4C12AD9D"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6D701F97" w14:textId="039B4FFB"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0178CA10" w14:textId="785811E5" w:rsidR="0016685E" w:rsidRPr="00CD11DE" w:rsidRDefault="0016685E" w:rsidP="0016685E">
            <w:pPr>
              <w:keepLines w:val="0"/>
              <w:spacing w:after="0" w:line="240" w:lineRule="auto"/>
              <w:jc w:val="right"/>
              <w:rPr>
                <w:rFonts w:eastAsia="Times New Roman"/>
                <w:sz w:val="18"/>
                <w:szCs w:val="18"/>
              </w:rPr>
            </w:pPr>
            <w:r w:rsidRPr="00CD11DE">
              <w:rPr>
                <w:sz w:val="18"/>
                <w:szCs w:val="18"/>
              </w:rPr>
              <w:t>736.</w:t>
            </w:r>
            <w:r>
              <w:rPr>
                <w:sz w:val="18"/>
                <w:szCs w:val="18"/>
              </w:rPr>
              <w:t>3</w:t>
            </w:r>
          </w:p>
        </w:tc>
        <w:tc>
          <w:tcPr>
            <w:tcW w:w="556" w:type="pct"/>
            <w:shd w:val="clear" w:color="auto" w:fill="auto"/>
            <w:noWrap/>
            <w:vAlign w:val="center"/>
            <w:hideMark/>
          </w:tcPr>
          <w:p w14:paraId="11EC7200" w14:textId="65B3637E"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36DE2798" w14:textId="2DFCC8CB"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03A1BD0A" w14:textId="55AFDC6D" w:rsidR="0016685E" w:rsidRPr="00CD11DE" w:rsidRDefault="0016685E" w:rsidP="0016685E">
            <w:pPr>
              <w:keepLines w:val="0"/>
              <w:spacing w:after="0" w:line="240" w:lineRule="auto"/>
              <w:jc w:val="right"/>
              <w:rPr>
                <w:rFonts w:eastAsia="Times New Roman"/>
                <w:sz w:val="18"/>
                <w:szCs w:val="18"/>
              </w:rPr>
            </w:pPr>
            <w:r w:rsidRPr="00CD11DE">
              <w:rPr>
                <w:sz w:val="18"/>
                <w:szCs w:val="18"/>
              </w:rPr>
              <w:t>135.9</w:t>
            </w:r>
          </w:p>
        </w:tc>
        <w:tc>
          <w:tcPr>
            <w:tcW w:w="450" w:type="pct"/>
            <w:shd w:val="clear" w:color="auto" w:fill="auto"/>
            <w:noWrap/>
            <w:vAlign w:val="center"/>
            <w:hideMark/>
          </w:tcPr>
          <w:p w14:paraId="6EDDD716" w14:textId="56A822C7" w:rsidR="0016685E" w:rsidRPr="00CD11DE" w:rsidRDefault="0016685E" w:rsidP="0016685E">
            <w:pPr>
              <w:keepLines w:val="0"/>
              <w:spacing w:after="0" w:line="240" w:lineRule="auto"/>
              <w:jc w:val="right"/>
              <w:rPr>
                <w:rFonts w:eastAsia="Times New Roman"/>
                <w:sz w:val="18"/>
                <w:szCs w:val="18"/>
              </w:rPr>
            </w:pPr>
            <w:r w:rsidRPr="00CD11DE">
              <w:rPr>
                <w:sz w:val="18"/>
                <w:szCs w:val="18"/>
              </w:rPr>
              <w:t>27.8</w:t>
            </w:r>
          </w:p>
        </w:tc>
        <w:tc>
          <w:tcPr>
            <w:tcW w:w="464" w:type="pct"/>
            <w:shd w:val="clear" w:color="auto" w:fill="auto"/>
            <w:noWrap/>
            <w:vAlign w:val="center"/>
            <w:hideMark/>
          </w:tcPr>
          <w:p w14:paraId="4F915882" w14:textId="0B4B1CB0" w:rsidR="0016685E" w:rsidRPr="00CD11DE" w:rsidRDefault="0016685E" w:rsidP="0016685E">
            <w:pPr>
              <w:keepLines w:val="0"/>
              <w:spacing w:after="0" w:line="240" w:lineRule="auto"/>
              <w:jc w:val="right"/>
              <w:rPr>
                <w:rFonts w:eastAsia="Times New Roman"/>
                <w:b/>
                <w:sz w:val="18"/>
                <w:szCs w:val="18"/>
              </w:rPr>
            </w:pPr>
            <w:r w:rsidRPr="00CD11DE">
              <w:rPr>
                <w:sz w:val="18"/>
                <w:szCs w:val="18"/>
              </w:rPr>
              <w:t>900.0</w:t>
            </w:r>
          </w:p>
        </w:tc>
      </w:tr>
      <w:tr w:rsidR="0016685E" w:rsidRPr="00CD11DE" w14:paraId="6E086A8C" w14:textId="77777777" w:rsidTr="006F3279">
        <w:trPr>
          <w:trHeight w:val="282"/>
        </w:trPr>
        <w:tc>
          <w:tcPr>
            <w:tcW w:w="749" w:type="pct"/>
            <w:shd w:val="clear" w:color="auto" w:fill="06B1D6" w:themeFill="accent1"/>
            <w:vAlign w:val="center"/>
          </w:tcPr>
          <w:p w14:paraId="32964A6F"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Other assets</w:t>
            </w:r>
          </w:p>
        </w:tc>
        <w:tc>
          <w:tcPr>
            <w:tcW w:w="556" w:type="pct"/>
            <w:shd w:val="clear" w:color="auto" w:fill="auto"/>
            <w:noWrap/>
            <w:vAlign w:val="center"/>
          </w:tcPr>
          <w:p w14:paraId="4AB251BA" w14:textId="5B985118" w:rsidR="0016685E" w:rsidRPr="00CD11DE" w:rsidRDefault="0016685E" w:rsidP="0016685E">
            <w:pPr>
              <w:keepLines w:val="0"/>
              <w:spacing w:after="0" w:line="240" w:lineRule="auto"/>
              <w:jc w:val="right"/>
              <w:rPr>
                <w:sz w:val="18"/>
              </w:rPr>
            </w:pPr>
            <w:r>
              <w:rPr>
                <w:sz w:val="18"/>
                <w:szCs w:val="18"/>
              </w:rPr>
              <w:t>1.0</w:t>
            </w:r>
          </w:p>
        </w:tc>
        <w:tc>
          <w:tcPr>
            <w:tcW w:w="556" w:type="pct"/>
            <w:shd w:val="clear" w:color="auto" w:fill="auto"/>
            <w:noWrap/>
            <w:vAlign w:val="center"/>
          </w:tcPr>
          <w:p w14:paraId="35F61866" w14:textId="7D6BF8A8" w:rsidR="0016685E" w:rsidRPr="00CD11DE" w:rsidRDefault="0016685E" w:rsidP="0016685E">
            <w:pPr>
              <w:keepLines w:val="0"/>
              <w:spacing w:after="0" w:line="240" w:lineRule="auto"/>
              <w:jc w:val="right"/>
              <w:rPr>
                <w:sz w:val="18"/>
              </w:rPr>
            </w:pPr>
            <w:r w:rsidRPr="00CD11DE">
              <w:rPr>
                <w:sz w:val="18"/>
                <w:szCs w:val="18"/>
              </w:rPr>
              <w:t>-</w:t>
            </w:r>
          </w:p>
        </w:tc>
        <w:tc>
          <w:tcPr>
            <w:tcW w:w="556" w:type="pct"/>
            <w:shd w:val="clear" w:color="auto" w:fill="auto"/>
            <w:noWrap/>
            <w:vAlign w:val="center"/>
          </w:tcPr>
          <w:p w14:paraId="3D12D400" w14:textId="322F374C" w:rsidR="0016685E" w:rsidRPr="00CD11DE" w:rsidRDefault="0016685E" w:rsidP="0016685E">
            <w:pPr>
              <w:keepLines w:val="0"/>
              <w:spacing w:after="0" w:line="240" w:lineRule="auto"/>
              <w:jc w:val="right"/>
              <w:rPr>
                <w:sz w:val="18"/>
              </w:rPr>
            </w:pPr>
            <w:r w:rsidRPr="00CD11DE">
              <w:rPr>
                <w:sz w:val="18"/>
                <w:szCs w:val="18"/>
              </w:rPr>
              <w:t>-</w:t>
            </w:r>
          </w:p>
        </w:tc>
        <w:tc>
          <w:tcPr>
            <w:tcW w:w="556" w:type="pct"/>
            <w:shd w:val="clear" w:color="auto" w:fill="auto"/>
            <w:noWrap/>
            <w:vAlign w:val="center"/>
          </w:tcPr>
          <w:p w14:paraId="165BE0C4" w14:textId="58693899" w:rsidR="0016685E" w:rsidRPr="00CD11DE" w:rsidRDefault="0016685E" w:rsidP="0016685E">
            <w:pPr>
              <w:keepLines w:val="0"/>
              <w:spacing w:after="0" w:line="240" w:lineRule="auto"/>
              <w:jc w:val="right"/>
              <w:rPr>
                <w:sz w:val="18"/>
              </w:rPr>
            </w:pPr>
            <w:r w:rsidRPr="00CD11DE">
              <w:rPr>
                <w:sz w:val="18"/>
                <w:szCs w:val="18"/>
              </w:rPr>
              <w:t>-</w:t>
            </w:r>
          </w:p>
        </w:tc>
        <w:tc>
          <w:tcPr>
            <w:tcW w:w="556" w:type="pct"/>
            <w:shd w:val="clear" w:color="auto" w:fill="auto"/>
            <w:noWrap/>
            <w:vAlign w:val="center"/>
          </w:tcPr>
          <w:p w14:paraId="5DCA6DBB" w14:textId="57AD2530" w:rsidR="0016685E" w:rsidRPr="00CD11DE" w:rsidRDefault="0016685E" w:rsidP="0016685E">
            <w:pPr>
              <w:keepLines w:val="0"/>
              <w:spacing w:after="0" w:line="240" w:lineRule="auto"/>
              <w:jc w:val="right"/>
              <w:rPr>
                <w:sz w:val="18"/>
              </w:rPr>
            </w:pPr>
            <w:r w:rsidRPr="00CD11DE">
              <w:rPr>
                <w:sz w:val="18"/>
                <w:szCs w:val="18"/>
              </w:rPr>
              <w:t>-</w:t>
            </w:r>
          </w:p>
        </w:tc>
        <w:tc>
          <w:tcPr>
            <w:tcW w:w="556" w:type="pct"/>
            <w:shd w:val="clear" w:color="auto" w:fill="auto"/>
            <w:noWrap/>
            <w:vAlign w:val="center"/>
          </w:tcPr>
          <w:p w14:paraId="39E0976B" w14:textId="287899F3" w:rsidR="0016685E" w:rsidRPr="00CD11DE" w:rsidRDefault="0016685E" w:rsidP="0016685E">
            <w:pPr>
              <w:keepLines w:val="0"/>
              <w:spacing w:after="0" w:line="240" w:lineRule="auto"/>
              <w:jc w:val="right"/>
              <w:rPr>
                <w:sz w:val="18"/>
              </w:rPr>
            </w:pPr>
            <w:r w:rsidRPr="00CD11DE">
              <w:rPr>
                <w:sz w:val="18"/>
                <w:szCs w:val="18"/>
              </w:rPr>
              <w:t>41.1</w:t>
            </w:r>
          </w:p>
        </w:tc>
        <w:tc>
          <w:tcPr>
            <w:tcW w:w="450" w:type="pct"/>
            <w:shd w:val="clear" w:color="auto" w:fill="auto"/>
            <w:noWrap/>
            <w:vAlign w:val="center"/>
          </w:tcPr>
          <w:p w14:paraId="781DC0B4" w14:textId="35B6CE41"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64" w:type="pct"/>
            <w:shd w:val="clear" w:color="auto" w:fill="auto"/>
            <w:noWrap/>
            <w:vAlign w:val="center"/>
          </w:tcPr>
          <w:p w14:paraId="2876BB9E" w14:textId="41135853" w:rsidR="0016685E" w:rsidRPr="00CD11DE" w:rsidRDefault="0016685E" w:rsidP="0016685E">
            <w:pPr>
              <w:keepLines w:val="0"/>
              <w:spacing w:after="0" w:line="240" w:lineRule="auto"/>
              <w:jc w:val="right"/>
              <w:rPr>
                <w:b/>
                <w:sz w:val="18"/>
              </w:rPr>
            </w:pPr>
            <w:r w:rsidRPr="00CD11DE">
              <w:rPr>
                <w:sz w:val="18"/>
                <w:szCs w:val="18"/>
              </w:rPr>
              <w:t>42.1</w:t>
            </w:r>
          </w:p>
        </w:tc>
      </w:tr>
      <w:tr w:rsidR="0016685E" w:rsidRPr="00CD11DE" w14:paraId="22FF3F7F" w14:textId="77777777" w:rsidTr="006F3279">
        <w:trPr>
          <w:trHeight w:val="282"/>
        </w:trPr>
        <w:tc>
          <w:tcPr>
            <w:tcW w:w="749" w:type="pct"/>
            <w:shd w:val="clear" w:color="auto" w:fill="06B1D6" w:themeFill="accent1"/>
            <w:vAlign w:val="center"/>
            <w:hideMark/>
          </w:tcPr>
          <w:p w14:paraId="53EC6802"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556" w:type="pct"/>
            <w:shd w:val="clear" w:color="auto" w:fill="auto"/>
            <w:noWrap/>
            <w:vAlign w:val="center"/>
            <w:hideMark/>
          </w:tcPr>
          <w:p w14:paraId="2F5EE4FA" w14:textId="1E303149"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668312E6" w14:textId="39DF7BC9" w:rsidR="0016685E" w:rsidRPr="00CD11DE" w:rsidRDefault="0016685E" w:rsidP="0016685E">
            <w:pPr>
              <w:keepLines w:val="0"/>
              <w:spacing w:after="0" w:line="240" w:lineRule="auto"/>
              <w:jc w:val="right"/>
              <w:rPr>
                <w:rFonts w:eastAsia="Times New Roman"/>
                <w:sz w:val="18"/>
                <w:szCs w:val="18"/>
              </w:rPr>
            </w:pPr>
            <w:r w:rsidRPr="00CD11DE">
              <w:rPr>
                <w:sz w:val="18"/>
                <w:szCs w:val="18"/>
              </w:rPr>
              <w:t>7.9</w:t>
            </w:r>
          </w:p>
        </w:tc>
        <w:tc>
          <w:tcPr>
            <w:tcW w:w="556" w:type="pct"/>
            <w:shd w:val="clear" w:color="auto" w:fill="auto"/>
            <w:noWrap/>
            <w:vAlign w:val="center"/>
            <w:hideMark/>
          </w:tcPr>
          <w:p w14:paraId="4D78F7B7" w14:textId="4D9CA5AF"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34C4127B" w14:textId="0D8D1859" w:rsidR="0016685E" w:rsidRPr="00CD11DE" w:rsidRDefault="0016685E" w:rsidP="0016685E">
            <w:pPr>
              <w:keepLines w:val="0"/>
              <w:spacing w:after="0" w:line="240" w:lineRule="auto"/>
              <w:jc w:val="right"/>
              <w:rPr>
                <w:rFonts w:eastAsia="Times New Roman"/>
                <w:sz w:val="18"/>
                <w:szCs w:val="18"/>
              </w:rPr>
            </w:pPr>
            <w:r w:rsidRPr="00CD11DE">
              <w:rPr>
                <w:sz w:val="18"/>
                <w:szCs w:val="18"/>
              </w:rPr>
              <w:t>3.3</w:t>
            </w:r>
          </w:p>
        </w:tc>
        <w:tc>
          <w:tcPr>
            <w:tcW w:w="556" w:type="pct"/>
            <w:shd w:val="clear" w:color="auto" w:fill="auto"/>
            <w:noWrap/>
            <w:vAlign w:val="center"/>
            <w:hideMark/>
          </w:tcPr>
          <w:p w14:paraId="6105BAD8" w14:textId="78EBC5C7"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556" w:type="pct"/>
            <w:shd w:val="clear" w:color="auto" w:fill="auto"/>
            <w:noWrap/>
            <w:vAlign w:val="center"/>
            <w:hideMark/>
          </w:tcPr>
          <w:p w14:paraId="33DDD938" w14:textId="080F4D05"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50" w:type="pct"/>
            <w:shd w:val="clear" w:color="auto" w:fill="auto"/>
            <w:noWrap/>
            <w:vAlign w:val="center"/>
            <w:hideMark/>
          </w:tcPr>
          <w:p w14:paraId="60E310A2" w14:textId="4E0A77AE"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464" w:type="pct"/>
            <w:shd w:val="clear" w:color="auto" w:fill="auto"/>
            <w:noWrap/>
            <w:vAlign w:val="center"/>
            <w:hideMark/>
          </w:tcPr>
          <w:p w14:paraId="02020826" w14:textId="029E3744" w:rsidR="0016685E" w:rsidRPr="00CD11DE" w:rsidRDefault="0016685E" w:rsidP="0016685E">
            <w:pPr>
              <w:keepLines w:val="0"/>
              <w:spacing w:after="0" w:line="240" w:lineRule="auto"/>
              <w:jc w:val="right"/>
              <w:rPr>
                <w:rFonts w:eastAsia="Times New Roman"/>
                <w:b/>
                <w:sz w:val="18"/>
                <w:szCs w:val="18"/>
              </w:rPr>
            </w:pPr>
            <w:r w:rsidRPr="00CD11DE">
              <w:rPr>
                <w:sz w:val="18"/>
                <w:szCs w:val="18"/>
              </w:rPr>
              <w:t>11.2</w:t>
            </w:r>
          </w:p>
        </w:tc>
      </w:tr>
      <w:tr w:rsidR="0016685E" w:rsidRPr="00CD11DE" w14:paraId="7CE217D0" w14:textId="77777777" w:rsidTr="006F3279">
        <w:trPr>
          <w:trHeight w:val="282"/>
        </w:trPr>
        <w:tc>
          <w:tcPr>
            <w:tcW w:w="749" w:type="pct"/>
            <w:shd w:val="clear" w:color="auto" w:fill="06B1D6" w:themeFill="accent1"/>
            <w:vAlign w:val="center"/>
            <w:hideMark/>
          </w:tcPr>
          <w:p w14:paraId="3533ACA1" w14:textId="77777777"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556" w:type="pct"/>
            <w:shd w:val="clear" w:color="auto" w:fill="auto"/>
            <w:noWrap/>
            <w:vAlign w:val="center"/>
            <w:hideMark/>
          </w:tcPr>
          <w:p w14:paraId="1A725D87" w14:textId="0ABAD225"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159.</w:t>
            </w:r>
            <w:r>
              <w:rPr>
                <w:b/>
                <w:bCs/>
                <w:sz w:val="18"/>
                <w:szCs w:val="18"/>
              </w:rPr>
              <w:t>6</w:t>
            </w:r>
          </w:p>
        </w:tc>
        <w:tc>
          <w:tcPr>
            <w:tcW w:w="556" w:type="pct"/>
            <w:shd w:val="clear" w:color="auto" w:fill="auto"/>
            <w:noWrap/>
            <w:vAlign w:val="center"/>
            <w:hideMark/>
          </w:tcPr>
          <w:p w14:paraId="307AD0FF" w14:textId="3C1C8FE3"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282.5</w:t>
            </w:r>
          </w:p>
        </w:tc>
        <w:tc>
          <w:tcPr>
            <w:tcW w:w="556" w:type="pct"/>
            <w:shd w:val="clear" w:color="auto" w:fill="auto"/>
            <w:noWrap/>
            <w:vAlign w:val="center"/>
            <w:hideMark/>
          </w:tcPr>
          <w:p w14:paraId="72B08F04" w14:textId="2EC8DC03"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1,709.</w:t>
            </w:r>
            <w:r>
              <w:rPr>
                <w:b/>
                <w:bCs/>
                <w:sz w:val="18"/>
                <w:szCs w:val="18"/>
              </w:rPr>
              <w:t>3</w:t>
            </w:r>
          </w:p>
        </w:tc>
        <w:tc>
          <w:tcPr>
            <w:tcW w:w="556" w:type="pct"/>
            <w:shd w:val="clear" w:color="auto" w:fill="auto"/>
            <w:noWrap/>
            <w:vAlign w:val="center"/>
            <w:hideMark/>
          </w:tcPr>
          <w:p w14:paraId="7A6B781F" w14:textId="6AAD2080"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120.4</w:t>
            </w:r>
          </w:p>
        </w:tc>
        <w:tc>
          <w:tcPr>
            <w:tcW w:w="556" w:type="pct"/>
            <w:shd w:val="clear" w:color="auto" w:fill="auto"/>
            <w:noWrap/>
            <w:vAlign w:val="center"/>
            <w:hideMark/>
          </w:tcPr>
          <w:p w14:paraId="07EC3E38" w14:textId="0EC4BE4C"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0.3</w:t>
            </w:r>
          </w:p>
        </w:tc>
        <w:tc>
          <w:tcPr>
            <w:tcW w:w="556" w:type="pct"/>
            <w:shd w:val="clear" w:color="auto" w:fill="auto"/>
            <w:noWrap/>
            <w:vAlign w:val="center"/>
            <w:hideMark/>
          </w:tcPr>
          <w:p w14:paraId="0D1B8EB0" w14:textId="2CC51D63"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196.</w:t>
            </w:r>
            <w:r>
              <w:rPr>
                <w:b/>
                <w:bCs/>
                <w:sz w:val="18"/>
                <w:szCs w:val="18"/>
              </w:rPr>
              <w:t>8</w:t>
            </w:r>
          </w:p>
        </w:tc>
        <w:tc>
          <w:tcPr>
            <w:tcW w:w="450" w:type="pct"/>
            <w:shd w:val="clear" w:color="auto" w:fill="auto"/>
            <w:noWrap/>
            <w:vAlign w:val="center"/>
            <w:hideMark/>
          </w:tcPr>
          <w:p w14:paraId="753DAD15" w14:textId="21052626"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27.8</w:t>
            </w:r>
          </w:p>
        </w:tc>
        <w:tc>
          <w:tcPr>
            <w:tcW w:w="464" w:type="pct"/>
            <w:shd w:val="clear" w:color="auto" w:fill="auto"/>
            <w:noWrap/>
            <w:vAlign w:val="center"/>
            <w:hideMark/>
          </w:tcPr>
          <w:p w14:paraId="5A25F2D7" w14:textId="5D9548B5" w:rsidR="0016685E" w:rsidRPr="00CD11DE" w:rsidRDefault="0016685E" w:rsidP="0016685E">
            <w:pPr>
              <w:keepLines w:val="0"/>
              <w:spacing w:after="0" w:line="240" w:lineRule="auto"/>
              <w:jc w:val="right"/>
              <w:rPr>
                <w:rFonts w:eastAsia="Times New Roman"/>
                <w:b/>
                <w:sz w:val="18"/>
                <w:szCs w:val="18"/>
              </w:rPr>
            </w:pPr>
            <w:r w:rsidRPr="00CD11DE">
              <w:rPr>
                <w:b/>
                <w:bCs/>
                <w:sz w:val="18"/>
                <w:szCs w:val="18"/>
              </w:rPr>
              <w:t>2,496.7</w:t>
            </w:r>
          </w:p>
        </w:tc>
      </w:tr>
    </w:tbl>
    <w:p w14:paraId="08B8947B" w14:textId="77777777" w:rsidR="0000514A" w:rsidRDefault="0000514A" w:rsidP="0000514A"/>
    <w:p w14:paraId="1CB4DDDC" w14:textId="77777777" w:rsidR="008B0571" w:rsidRDefault="008B0571" w:rsidP="0000514A"/>
    <w:p w14:paraId="1EF56DEE" w14:textId="77777777" w:rsidR="008B0571" w:rsidRDefault="008B0571" w:rsidP="0000514A"/>
    <w:p w14:paraId="26C48CEB" w14:textId="77777777" w:rsidR="008B0571" w:rsidRDefault="008B0571" w:rsidP="0000514A"/>
    <w:p w14:paraId="6A1C2F56" w14:textId="77777777" w:rsidR="008B0571" w:rsidRDefault="008B0571" w:rsidP="0000514A"/>
    <w:p w14:paraId="33EEFA22" w14:textId="60447B6B" w:rsidR="008B0571" w:rsidRDefault="008F55A3" w:rsidP="62E27241">
      <w:pPr>
        <w:jc w:val="center"/>
        <w:rPr>
          <w:b/>
          <w:bCs/>
          <w:sz w:val="20"/>
          <w:szCs w:val="20"/>
        </w:rPr>
      </w:pPr>
      <w:r w:rsidRPr="62E27241">
        <w:rPr>
          <w:b/>
          <w:bCs/>
          <w:sz w:val="20"/>
          <w:szCs w:val="20"/>
        </w:rPr>
        <w:t>[Remainder of page intentionally left blank]</w:t>
      </w:r>
    </w:p>
    <w:p w14:paraId="65CB7416" w14:textId="77777777" w:rsidR="008B0571" w:rsidRDefault="008B0571" w:rsidP="0000514A"/>
    <w:p w14:paraId="775494C6" w14:textId="77777777" w:rsidR="008B0571" w:rsidRPr="00CD11DE" w:rsidRDefault="008B0571" w:rsidP="0000514A"/>
    <w:p w14:paraId="4A9F8057" w14:textId="273B91B5" w:rsidR="00073DB5" w:rsidRPr="00C62D72" w:rsidRDefault="00073DB5" w:rsidP="0023179E">
      <w:pPr>
        <w:pStyle w:val="Heading2"/>
        <w:rPr>
          <w:lang w:val="en-GB"/>
        </w:rPr>
      </w:pPr>
      <w:bookmarkStart w:id="274" w:name="_Toc168322171"/>
      <w:bookmarkStart w:id="275" w:name="_Toc168322310"/>
      <w:bookmarkStart w:id="276" w:name="_Toc168322449"/>
      <w:bookmarkStart w:id="277" w:name="_Toc168330778"/>
      <w:bookmarkStart w:id="278" w:name="_Toc168331581"/>
      <w:bookmarkStart w:id="279" w:name="_Toc168331720"/>
      <w:bookmarkStart w:id="280" w:name="_Toc201575415"/>
      <w:bookmarkEnd w:id="274"/>
      <w:bookmarkEnd w:id="275"/>
      <w:bookmarkEnd w:id="276"/>
      <w:bookmarkEnd w:id="277"/>
      <w:bookmarkEnd w:id="278"/>
      <w:bookmarkEnd w:id="279"/>
      <w:r w:rsidRPr="00C62D72">
        <w:rPr>
          <w:lang w:val="en-GB"/>
        </w:rPr>
        <w:lastRenderedPageBreak/>
        <w:t>Credit Concentration Risk</w:t>
      </w:r>
      <w:bookmarkEnd w:id="280"/>
    </w:p>
    <w:p w14:paraId="1A39F384" w14:textId="43133DD7" w:rsidR="00417ADD" w:rsidRPr="00CD11DE" w:rsidRDefault="00073DB5" w:rsidP="00417ADD">
      <w:pPr>
        <w:ind w:left="-5"/>
        <w:rPr>
          <w:sz w:val="20"/>
          <w:szCs w:val="20"/>
        </w:rPr>
      </w:pPr>
      <w:r w:rsidRPr="00CD11DE">
        <w:rPr>
          <w:sz w:val="20"/>
          <w:szCs w:val="20"/>
        </w:rPr>
        <w:t xml:space="preserve">Credit </w:t>
      </w:r>
      <w:r w:rsidR="00417ADD" w:rsidRPr="00CD11DE">
        <w:rPr>
          <w:sz w:val="20"/>
          <w:szCs w:val="20"/>
        </w:rPr>
        <w:t>concentration risk is the risk of loss arising from inadequate diversification of credit risk across sectors. The risk arises due to exposure to specific geographical locations, industry sectors or customers or institutions.</w:t>
      </w:r>
    </w:p>
    <w:p w14:paraId="1B406F7A" w14:textId="54384522" w:rsidR="006F6FD3" w:rsidRDefault="00417ADD" w:rsidP="00417ADD">
      <w:pPr>
        <w:ind w:left="-5"/>
        <w:rPr>
          <w:sz w:val="20"/>
          <w:szCs w:val="20"/>
        </w:rPr>
      </w:pPr>
      <w:r w:rsidRPr="00CD11DE">
        <w:rPr>
          <w:sz w:val="20"/>
          <w:szCs w:val="20"/>
        </w:rPr>
        <w:t xml:space="preserve">The Board sets counterparty, </w:t>
      </w:r>
      <w:r w:rsidR="00C6587A" w:rsidRPr="00CD11DE">
        <w:rPr>
          <w:sz w:val="20"/>
          <w:szCs w:val="20"/>
        </w:rPr>
        <w:t>country,</w:t>
      </w:r>
      <w:r w:rsidRPr="00CD11DE">
        <w:rPr>
          <w:sz w:val="20"/>
          <w:szCs w:val="20"/>
        </w:rPr>
        <w:t xml:space="preserve"> and regional limits in respect of treasury assets and adherence to these limits is monitored daily. The Credit Risk Committee monitors both sectoral and geographic concentration for each finance asset class and regularly reviews counterparty, </w:t>
      </w:r>
      <w:r w:rsidR="00C6587A" w:rsidRPr="00CD11DE">
        <w:rPr>
          <w:sz w:val="20"/>
          <w:szCs w:val="20"/>
        </w:rPr>
        <w:t>country,</w:t>
      </w:r>
      <w:r w:rsidRPr="00CD11DE">
        <w:rPr>
          <w:sz w:val="20"/>
          <w:szCs w:val="20"/>
        </w:rPr>
        <w:t xml:space="preserve"> and regional limits in respect of treasury assets.  </w:t>
      </w:r>
    </w:p>
    <w:p w14:paraId="1D0E8D91" w14:textId="20221A32" w:rsidR="00765621" w:rsidRPr="00C62D72" w:rsidRDefault="002635A5" w:rsidP="00D02827">
      <w:pPr>
        <w:pStyle w:val="Heading3"/>
        <w:rPr>
          <w:lang w:val="en-GB"/>
        </w:rPr>
      </w:pPr>
      <w:r w:rsidRPr="00C62D72">
        <w:rPr>
          <w:lang w:val="en-GB"/>
        </w:rPr>
        <w:t xml:space="preserve">Geographic </w:t>
      </w:r>
      <w:r w:rsidR="00EF0271" w:rsidRPr="00C62D72">
        <w:rPr>
          <w:lang w:val="en-GB"/>
        </w:rPr>
        <w:t>d</w:t>
      </w:r>
      <w:r w:rsidR="00841660" w:rsidRPr="00C62D72">
        <w:rPr>
          <w:lang w:val="en-GB"/>
        </w:rPr>
        <w:t xml:space="preserve">istribution of </w:t>
      </w:r>
      <w:r w:rsidR="00EF0271" w:rsidRPr="00C62D72">
        <w:rPr>
          <w:lang w:val="en-GB"/>
        </w:rPr>
        <w:t>credit risk e</w:t>
      </w:r>
      <w:r w:rsidR="00841660" w:rsidRPr="00C62D72">
        <w:rPr>
          <w:lang w:val="en-GB"/>
        </w:rPr>
        <w:t xml:space="preserve">xposures </w:t>
      </w:r>
    </w:p>
    <w:p w14:paraId="7D938BF6" w14:textId="717FDD65" w:rsidR="00296BCD" w:rsidRDefault="00140A7E" w:rsidP="00F22F02">
      <w:pPr>
        <w:rPr>
          <w:sz w:val="20"/>
          <w:szCs w:val="20"/>
        </w:rPr>
      </w:pPr>
      <w:r w:rsidRPr="00CD11DE">
        <w:rPr>
          <w:sz w:val="20"/>
          <w:szCs w:val="20"/>
        </w:rPr>
        <w:t>The Bank’s credit risk exposures, based on the location of the asset being financed, are largely within the UK, however</w:t>
      </w:r>
      <w:r w:rsidR="009E50E7" w:rsidRPr="00CD11DE">
        <w:rPr>
          <w:sz w:val="20"/>
          <w:szCs w:val="20"/>
        </w:rPr>
        <w:t xml:space="preserve"> as</w:t>
      </w:r>
      <w:r w:rsidRPr="00CD11DE">
        <w:rPr>
          <w:sz w:val="20"/>
          <w:szCs w:val="20"/>
        </w:rPr>
        <w:t xml:space="preserve"> at 31</w:t>
      </w:r>
      <w:r w:rsidR="009E50E7" w:rsidRPr="00CD11DE">
        <w:rPr>
          <w:sz w:val="20"/>
          <w:szCs w:val="20"/>
          <w:vertAlign w:val="superscript"/>
        </w:rPr>
        <w:t>st</w:t>
      </w:r>
      <w:r w:rsidRPr="00CD11DE">
        <w:rPr>
          <w:sz w:val="20"/>
          <w:szCs w:val="20"/>
        </w:rPr>
        <w:t xml:space="preserve"> December </w:t>
      </w:r>
      <w:r w:rsidR="0023087C">
        <w:rPr>
          <w:sz w:val="20"/>
          <w:szCs w:val="20"/>
        </w:rPr>
        <w:t>2024</w:t>
      </w:r>
      <w:r w:rsidRPr="00C314D3">
        <w:rPr>
          <w:sz w:val="20"/>
          <w:szCs w:val="20"/>
        </w:rPr>
        <w:t xml:space="preserve">, </w:t>
      </w:r>
      <w:r w:rsidRPr="00C314D3">
        <w:rPr>
          <w:sz w:val="20"/>
        </w:rPr>
        <w:t>£</w:t>
      </w:r>
      <w:r w:rsidR="00C314D3" w:rsidRPr="007E0530">
        <w:rPr>
          <w:sz w:val="20"/>
        </w:rPr>
        <w:t xml:space="preserve">423.2 </w:t>
      </w:r>
      <w:r w:rsidRPr="00C314D3">
        <w:rPr>
          <w:sz w:val="20"/>
        </w:rPr>
        <w:t>million</w:t>
      </w:r>
      <w:r w:rsidRPr="00C314D3">
        <w:rPr>
          <w:sz w:val="20"/>
          <w:szCs w:val="20"/>
        </w:rPr>
        <w:t xml:space="preserve"> of the Bank’s assets were held outside the UK (31 December </w:t>
      </w:r>
      <w:r w:rsidR="0023087C" w:rsidRPr="00C314D3">
        <w:rPr>
          <w:sz w:val="20"/>
          <w:szCs w:val="20"/>
        </w:rPr>
        <w:t>2023</w:t>
      </w:r>
      <w:r w:rsidRPr="00C314D3">
        <w:rPr>
          <w:sz w:val="20"/>
          <w:szCs w:val="20"/>
        </w:rPr>
        <w:t>: £</w:t>
      </w:r>
      <w:r w:rsidR="0016685E" w:rsidRPr="00C314D3">
        <w:rPr>
          <w:sz w:val="20"/>
          <w:szCs w:val="20"/>
        </w:rPr>
        <w:t>285.4</w:t>
      </w:r>
      <w:r w:rsidR="00FD7E04" w:rsidRPr="00C314D3">
        <w:rPr>
          <w:sz w:val="20"/>
        </w:rPr>
        <w:t xml:space="preserve"> </w:t>
      </w:r>
      <w:r w:rsidRPr="00C314D3">
        <w:rPr>
          <w:sz w:val="20"/>
          <w:szCs w:val="20"/>
        </w:rPr>
        <w:t>million) of which £</w:t>
      </w:r>
      <w:r w:rsidR="00C314D3" w:rsidRPr="007E0530">
        <w:rPr>
          <w:sz w:val="20"/>
          <w:szCs w:val="20"/>
        </w:rPr>
        <w:t xml:space="preserve">423 </w:t>
      </w:r>
      <w:r w:rsidRPr="00C314D3">
        <w:rPr>
          <w:sz w:val="20"/>
          <w:szCs w:val="20"/>
        </w:rPr>
        <w:t xml:space="preserve">million account for </w:t>
      </w:r>
      <w:r w:rsidR="00885BD5" w:rsidRPr="00C314D3">
        <w:rPr>
          <w:sz w:val="20"/>
          <w:szCs w:val="20"/>
        </w:rPr>
        <w:t>T</w:t>
      </w:r>
      <w:r w:rsidRPr="00C314D3">
        <w:rPr>
          <w:sz w:val="20"/>
          <w:szCs w:val="20"/>
        </w:rPr>
        <w:t>reasury assets.</w:t>
      </w:r>
    </w:p>
    <w:p w14:paraId="2654089D" w14:textId="77777777" w:rsidR="008B0571" w:rsidRDefault="008B0571" w:rsidP="00F22F02">
      <w:pPr>
        <w:rPr>
          <w:sz w:val="20"/>
          <w:szCs w:val="20"/>
        </w:rPr>
      </w:pPr>
    </w:p>
    <w:tbl>
      <w:tblPr>
        <w:tblpPr w:leftFromText="180" w:rightFromText="180" w:vertAnchor="page" w:horzAnchor="margin" w:tblpY="66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1518"/>
        <w:gridCol w:w="1217"/>
        <w:gridCol w:w="1016"/>
        <w:gridCol w:w="1016"/>
        <w:gridCol w:w="1517"/>
      </w:tblGrid>
      <w:tr w:rsidR="008B0571" w:rsidRPr="00CD11DE" w14:paraId="3F781823" w14:textId="77777777" w:rsidTr="006F3279">
        <w:trPr>
          <w:trHeight w:val="294"/>
        </w:trPr>
        <w:tc>
          <w:tcPr>
            <w:tcW w:w="1519" w:type="pct"/>
            <w:shd w:val="clear" w:color="auto" w:fill="06B1D6" w:themeFill="accent1"/>
            <w:vAlign w:val="center"/>
            <w:hideMark/>
          </w:tcPr>
          <w:p w14:paraId="5CC63571"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841" w:type="pct"/>
            <w:shd w:val="clear" w:color="auto" w:fill="06B1D6" w:themeFill="accent1"/>
            <w:vAlign w:val="center"/>
            <w:hideMark/>
          </w:tcPr>
          <w:p w14:paraId="3AFD05B2"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UK </w:t>
            </w:r>
          </w:p>
          <w:p w14:paraId="17D048BF"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674" w:type="pct"/>
            <w:shd w:val="clear" w:color="auto" w:fill="06B1D6" w:themeFill="accent1"/>
            <w:vAlign w:val="center"/>
            <w:hideMark/>
          </w:tcPr>
          <w:p w14:paraId="2C837B04"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Middle East (£m)</w:t>
            </w:r>
          </w:p>
        </w:tc>
        <w:tc>
          <w:tcPr>
            <w:tcW w:w="563" w:type="pct"/>
            <w:shd w:val="clear" w:color="auto" w:fill="06B1D6" w:themeFill="accent1"/>
            <w:vAlign w:val="center"/>
            <w:hideMark/>
          </w:tcPr>
          <w:p w14:paraId="4B1301B3"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Rest of the World </w:t>
            </w:r>
          </w:p>
          <w:p w14:paraId="3335012D"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563" w:type="pct"/>
            <w:shd w:val="clear" w:color="auto" w:fill="06B1D6" w:themeFill="accent1"/>
            <w:vAlign w:val="center"/>
            <w:hideMark/>
          </w:tcPr>
          <w:p w14:paraId="137AEA53"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Global Supra-national (£m)</w:t>
            </w:r>
          </w:p>
        </w:tc>
        <w:tc>
          <w:tcPr>
            <w:tcW w:w="840" w:type="pct"/>
            <w:shd w:val="clear" w:color="auto" w:fill="06B1D6" w:themeFill="accent1"/>
            <w:vAlign w:val="center"/>
            <w:hideMark/>
          </w:tcPr>
          <w:p w14:paraId="6D7C36DC"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Total </w:t>
            </w:r>
          </w:p>
          <w:p w14:paraId="5151856A"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8B0571" w:rsidRPr="00CD11DE" w14:paraId="47D9D901" w14:textId="77777777" w:rsidTr="006F3279">
        <w:trPr>
          <w:trHeight w:val="294"/>
        </w:trPr>
        <w:tc>
          <w:tcPr>
            <w:tcW w:w="1519" w:type="pct"/>
            <w:shd w:val="clear" w:color="auto" w:fill="06B1D6" w:themeFill="accent1"/>
            <w:vAlign w:val="center"/>
            <w:hideMark/>
          </w:tcPr>
          <w:p w14:paraId="7D42CE61"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 (bank counterparties)</w:t>
            </w:r>
          </w:p>
        </w:tc>
        <w:tc>
          <w:tcPr>
            <w:tcW w:w="841" w:type="pct"/>
            <w:shd w:val="clear" w:color="auto" w:fill="auto"/>
            <w:noWrap/>
          </w:tcPr>
          <w:p w14:paraId="06F44D03" w14:textId="77777777" w:rsidR="008B0571" w:rsidRPr="001030FC" w:rsidRDefault="008B0571" w:rsidP="008B0571">
            <w:pPr>
              <w:keepLines w:val="0"/>
              <w:spacing w:after="0" w:line="240" w:lineRule="auto"/>
              <w:jc w:val="right"/>
              <w:rPr>
                <w:sz w:val="18"/>
                <w:szCs w:val="18"/>
              </w:rPr>
            </w:pPr>
            <w:r w:rsidRPr="009C24EE">
              <w:rPr>
                <w:sz w:val="18"/>
                <w:szCs w:val="18"/>
              </w:rPr>
              <w:t xml:space="preserve"> 251.1 </w:t>
            </w:r>
          </w:p>
        </w:tc>
        <w:tc>
          <w:tcPr>
            <w:tcW w:w="674" w:type="pct"/>
            <w:shd w:val="clear" w:color="auto" w:fill="auto"/>
            <w:noWrap/>
          </w:tcPr>
          <w:p w14:paraId="653B239C" w14:textId="623B685B" w:rsidR="008B0571" w:rsidRPr="001030FC" w:rsidRDefault="008B0571" w:rsidP="008B0571">
            <w:pPr>
              <w:keepLines w:val="0"/>
              <w:spacing w:after="0" w:line="240" w:lineRule="auto"/>
              <w:jc w:val="right"/>
              <w:rPr>
                <w:sz w:val="18"/>
                <w:szCs w:val="18"/>
              </w:rPr>
            </w:pPr>
            <w:r w:rsidRPr="009C24EE">
              <w:rPr>
                <w:sz w:val="18"/>
                <w:szCs w:val="18"/>
              </w:rPr>
              <w:t xml:space="preserve"> 2</w:t>
            </w:r>
            <w:r w:rsidR="00401AC6">
              <w:rPr>
                <w:sz w:val="18"/>
                <w:szCs w:val="18"/>
              </w:rPr>
              <w:t>88.3</w:t>
            </w:r>
            <w:r w:rsidRPr="009C24EE">
              <w:rPr>
                <w:sz w:val="18"/>
                <w:szCs w:val="18"/>
              </w:rPr>
              <w:t xml:space="preserve"> </w:t>
            </w:r>
          </w:p>
        </w:tc>
        <w:tc>
          <w:tcPr>
            <w:tcW w:w="563" w:type="pct"/>
            <w:shd w:val="clear" w:color="auto" w:fill="auto"/>
            <w:noWrap/>
          </w:tcPr>
          <w:p w14:paraId="28D2085E"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1C97B8D2"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840" w:type="pct"/>
            <w:shd w:val="clear" w:color="auto" w:fill="auto"/>
            <w:noWrap/>
          </w:tcPr>
          <w:p w14:paraId="039A0C63" w14:textId="0015A9C6" w:rsidR="008B0571" w:rsidRPr="001030FC" w:rsidRDefault="008B0571" w:rsidP="008B0571">
            <w:pPr>
              <w:keepLines w:val="0"/>
              <w:spacing w:after="0" w:line="240" w:lineRule="auto"/>
              <w:jc w:val="right"/>
              <w:rPr>
                <w:b/>
                <w:bCs/>
                <w:sz w:val="18"/>
                <w:szCs w:val="18"/>
              </w:rPr>
            </w:pPr>
            <w:r w:rsidRPr="009C24EE">
              <w:rPr>
                <w:sz w:val="18"/>
                <w:szCs w:val="18"/>
              </w:rPr>
              <w:t xml:space="preserve"> 5</w:t>
            </w:r>
            <w:r w:rsidR="00401AC6">
              <w:rPr>
                <w:sz w:val="18"/>
                <w:szCs w:val="18"/>
              </w:rPr>
              <w:t>39.4</w:t>
            </w:r>
            <w:r w:rsidRPr="009C24EE">
              <w:rPr>
                <w:sz w:val="18"/>
                <w:szCs w:val="18"/>
              </w:rPr>
              <w:t xml:space="preserve"> </w:t>
            </w:r>
          </w:p>
        </w:tc>
      </w:tr>
      <w:tr w:rsidR="008B0571" w:rsidRPr="00CD11DE" w14:paraId="0A0906B7" w14:textId="77777777" w:rsidTr="006F3279">
        <w:trPr>
          <w:trHeight w:val="294"/>
        </w:trPr>
        <w:tc>
          <w:tcPr>
            <w:tcW w:w="1519" w:type="pct"/>
            <w:shd w:val="clear" w:color="auto" w:fill="06B1D6" w:themeFill="accent1"/>
            <w:vAlign w:val="center"/>
            <w:hideMark/>
          </w:tcPr>
          <w:p w14:paraId="0B66C732"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841" w:type="pct"/>
            <w:shd w:val="clear" w:color="auto" w:fill="auto"/>
            <w:noWrap/>
          </w:tcPr>
          <w:p w14:paraId="00F475C0" w14:textId="77777777" w:rsidR="008B0571" w:rsidRPr="001030FC" w:rsidRDefault="008B0571" w:rsidP="008B0571">
            <w:pPr>
              <w:keepLines w:val="0"/>
              <w:spacing w:after="0" w:line="240" w:lineRule="auto"/>
              <w:jc w:val="right"/>
              <w:rPr>
                <w:sz w:val="18"/>
                <w:szCs w:val="18"/>
              </w:rPr>
            </w:pPr>
            <w:r w:rsidRPr="009C24EE">
              <w:rPr>
                <w:sz w:val="18"/>
                <w:szCs w:val="18"/>
              </w:rPr>
              <w:t xml:space="preserve"> 7.2 </w:t>
            </w:r>
          </w:p>
        </w:tc>
        <w:tc>
          <w:tcPr>
            <w:tcW w:w="674" w:type="pct"/>
            <w:shd w:val="clear" w:color="auto" w:fill="auto"/>
            <w:noWrap/>
          </w:tcPr>
          <w:p w14:paraId="3D55FD26"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26DD6FB4" w14:textId="77D05330" w:rsidR="008B0571" w:rsidRPr="001030FC" w:rsidRDefault="008B0571" w:rsidP="008B0571">
            <w:pPr>
              <w:keepLines w:val="0"/>
              <w:spacing w:after="0" w:line="240" w:lineRule="auto"/>
              <w:jc w:val="right"/>
              <w:rPr>
                <w:sz w:val="18"/>
                <w:szCs w:val="18"/>
              </w:rPr>
            </w:pPr>
            <w:r w:rsidRPr="009C24EE">
              <w:rPr>
                <w:sz w:val="18"/>
                <w:szCs w:val="18"/>
              </w:rPr>
              <w:t xml:space="preserve"> 9</w:t>
            </w:r>
            <w:r w:rsidR="00401AC6">
              <w:rPr>
                <w:sz w:val="18"/>
                <w:szCs w:val="18"/>
              </w:rPr>
              <w:t>8.1</w:t>
            </w:r>
            <w:r w:rsidRPr="009C24EE">
              <w:rPr>
                <w:sz w:val="18"/>
                <w:szCs w:val="18"/>
              </w:rPr>
              <w:t xml:space="preserve"> </w:t>
            </w:r>
          </w:p>
        </w:tc>
        <w:tc>
          <w:tcPr>
            <w:tcW w:w="563" w:type="pct"/>
            <w:shd w:val="clear" w:color="auto" w:fill="auto"/>
            <w:noWrap/>
          </w:tcPr>
          <w:p w14:paraId="1813039E" w14:textId="5330206E" w:rsidR="008B0571" w:rsidRPr="001030FC" w:rsidRDefault="008B0571" w:rsidP="008B0571">
            <w:pPr>
              <w:keepLines w:val="0"/>
              <w:spacing w:after="0" w:line="240" w:lineRule="auto"/>
              <w:jc w:val="right"/>
              <w:rPr>
                <w:sz w:val="18"/>
                <w:szCs w:val="18"/>
              </w:rPr>
            </w:pPr>
            <w:r w:rsidRPr="009C24EE">
              <w:rPr>
                <w:sz w:val="18"/>
                <w:szCs w:val="18"/>
              </w:rPr>
              <w:t xml:space="preserve"> 36.</w:t>
            </w:r>
            <w:r w:rsidR="00401AC6">
              <w:rPr>
                <w:sz w:val="18"/>
                <w:szCs w:val="18"/>
              </w:rPr>
              <w:t>6</w:t>
            </w:r>
            <w:r w:rsidRPr="009C24EE">
              <w:rPr>
                <w:sz w:val="18"/>
                <w:szCs w:val="18"/>
              </w:rPr>
              <w:t xml:space="preserve"> </w:t>
            </w:r>
          </w:p>
        </w:tc>
        <w:tc>
          <w:tcPr>
            <w:tcW w:w="840" w:type="pct"/>
            <w:shd w:val="clear" w:color="auto" w:fill="auto"/>
            <w:noWrap/>
          </w:tcPr>
          <w:p w14:paraId="2C7E72DB" w14:textId="7E951262" w:rsidR="008B0571" w:rsidRPr="001030FC" w:rsidRDefault="008B0571" w:rsidP="008B0571">
            <w:pPr>
              <w:keepLines w:val="0"/>
              <w:spacing w:after="0" w:line="240" w:lineRule="auto"/>
              <w:jc w:val="right"/>
              <w:rPr>
                <w:b/>
                <w:bCs/>
                <w:sz w:val="18"/>
                <w:szCs w:val="18"/>
              </w:rPr>
            </w:pPr>
            <w:r w:rsidRPr="009C24EE">
              <w:rPr>
                <w:sz w:val="18"/>
                <w:szCs w:val="18"/>
              </w:rPr>
              <w:t xml:space="preserve"> 1</w:t>
            </w:r>
            <w:r w:rsidR="00401AC6">
              <w:rPr>
                <w:sz w:val="18"/>
                <w:szCs w:val="18"/>
              </w:rPr>
              <w:t>41.9</w:t>
            </w:r>
            <w:r w:rsidRPr="009C24EE">
              <w:rPr>
                <w:sz w:val="18"/>
                <w:szCs w:val="18"/>
              </w:rPr>
              <w:t xml:space="preserve"> </w:t>
            </w:r>
          </w:p>
        </w:tc>
      </w:tr>
      <w:tr w:rsidR="008B0571" w:rsidRPr="00CD11DE" w14:paraId="0B4903D9" w14:textId="77777777" w:rsidTr="006F3279">
        <w:trPr>
          <w:trHeight w:val="294"/>
        </w:trPr>
        <w:tc>
          <w:tcPr>
            <w:tcW w:w="1519" w:type="pct"/>
            <w:shd w:val="clear" w:color="auto" w:fill="06B1D6" w:themeFill="accent1"/>
            <w:vAlign w:val="center"/>
            <w:hideMark/>
          </w:tcPr>
          <w:p w14:paraId="17535514"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841" w:type="pct"/>
            <w:shd w:val="clear" w:color="auto" w:fill="auto"/>
            <w:noWrap/>
          </w:tcPr>
          <w:p w14:paraId="72F39563" w14:textId="5977B03A" w:rsidR="008B0571" w:rsidRPr="001030FC" w:rsidRDefault="008B0571" w:rsidP="008B0571">
            <w:pPr>
              <w:keepLines w:val="0"/>
              <w:spacing w:after="0" w:line="240" w:lineRule="auto"/>
              <w:jc w:val="right"/>
              <w:rPr>
                <w:sz w:val="18"/>
                <w:szCs w:val="18"/>
              </w:rPr>
            </w:pPr>
            <w:r w:rsidRPr="009C24EE">
              <w:rPr>
                <w:sz w:val="18"/>
                <w:szCs w:val="18"/>
              </w:rPr>
              <w:t xml:space="preserve"> 93</w:t>
            </w:r>
            <w:r w:rsidR="00401AC6">
              <w:rPr>
                <w:sz w:val="18"/>
                <w:szCs w:val="18"/>
              </w:rPr>
              <w:t>2.8</w:t>
            </w:r>
            <w:r w:rsidRPr="009C24EE">
              <w:rPr>
                <w:sz w:val="18"/>
                <w:szCs w:val="18"/>
              </w:rPr>
              <w:t xml:space="preserve"> </w:t>
            </w:r>
          </w:p>
        </w:tc>
        <w:tc>
          <w:tcPr>
            <w:tcW w:w="674" w:type="pct"/>
            <w:shd w:val="clear" w:color="auto" w:fill="auto"/>
            <w:noWrap/>
          </w:tcPr>
          <w:p w14:paraId="05B6EEDB"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55F5ECA6" w14:textId="77777777" w:rsidR="008B0571" w:rsidRPr="001030FC" w:rsidRDefault="008B0571" w:rsidP="008B0571">
            <w:pPr>
              <w:keepLines w:val="0"/>
              <w:spacing w:after="0" w:line="240" w:lineRule="auto"/>
              <w:jc w:val="right"/>
              <w:rPr>
                <w:sz w:val="18"/>
                <w:szCs w:val="18"/>
              </w:rPr>
            </w:pPr>
            <w:r w:rsidRPr="009C24EE">
              <w:rPr>
                <w:sz w:val="18"/>
                <w:szCs w:val="18"/>
              </w:rPr>
              <w:t xml:space="preserve"> 0.2 </w:t>
            </w:r>
          </w:p>
        </w:tc>
        <w:tc>
          <w:tcPr>
            <w:tcW w:w="563" w:type="pct"/>
            <w:shd w:val="clear" w:color="auto" w:fill="auto"/>
            <w:noWrap/>
          </w:tcPr>
          <w:p w14:paraId="568472C5"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840" w:type="pct"/>
            <w:shd w:val="clear" w:color="auto" w:fill="auto"/>
            <w:noWrap/>
          </w:tcPr>
          <w:p w14:paraId="3233E0EF" w14:textId="2D00F8D3" w:rsidR="008B0571" w:rsidRPr="001030FC" w:rsidRDefault="008B0571" w:rsidP="008B0571">
            <w:pPr>
              <w:keepLines w:val="0"/>
              <w:spacing w:after="0" w:line="240" w:lineRule="auto"/>
              <w:jc w:val="right"/>
              <w:rPr>
                <w:b/>
                <w:bCs/>
                <w:sz w:val="18"/>
                <w:szCs w:val="18"/>
              </w:rPr>
            </w:pPr>
            <w:r w:rsidRPr="009C24EE">
              <w:rPr>
                <w:sz w:val="18"/>
                <w:szCs w:val="18"/>
              </w:rPr>
              <w:t xml:space="preserve"> 933.</w:t>
            </w:r>
            <w:r w:rsidR="00401AC6">
              <w:rPr>
                <w:sz w:val="18"/>
                <w:szCs w:val="18"/>
              </w:rPr>
              <w:t>0</w:t>
            </w:r>
            <w:r w:rsidRPr="009C24EE">
              <w:rPr>
                <w:sz w:val="18"/>
                <w:szCs w:val="18"/>
              </w:rPr>
              <w:t xml:space="preserve"> </w:t>
            </w:r>
          </w:p>
        </w:tc>
      </w:tr>
      <w:tr w:rsidR="008B0571" w:rsidRPr="00CD11DE" w14:paraId="31A8EB38" w14:textId="77777777" w:rsidTr="006F3279">
        <w:trPr>
          <w:trHeight w:val="294"/>
        </w:trPr>
        <w:tc>
          <w:tcPr>
            <w:tcW w:w="1519" w:type="pct"/>
            <w:shd w:val="clear" w:color="auto" w:fill="06B1D6" w:themeFill="accent1"/>
            <w:vAlign w:val="center"/>
            <w:hideMark/>
          </w:tcPr>
          <w:p w14:paraId="0B255934"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841" w:type="pct"/>
            <w:shd w:val="clear" w:color="auto" w:fill="auto"/>
            <w:noWrap/>
          </w:tcPr>
          <w:p w14:paraId="32DBCA4D" w14:textId="16FB0E0C" w:rsidR="008B0571" w:rsidRPr="001030FC" w:rsidRDefault="008B0571" w:rsidP="008B0571">
            <w:pPr>
              <w:keepLines w:val="0"/>
              <w:spacing w:after="0" w:line="240" w:lineRule="auto"/>
              <w:jc w:val="right"/>
              <w:rPr>
                <w:sz w:val="18"/>
                <w:szCs w:val="18"/>
              </w:rPr>
            </w:pPr>
            <w:r w:rsidRPr="009C24EE">
              <w:rPr>
                <w:sz w:val="18"/>
                <w:szCs w:val="18"/>
              </w:rPr>
              <w:t xml:space="preserve"> 1,185.</w:t>
            </w:r>
            <w:r w:rsidR="00401AC6">
              <w:rPr>
                <w:sz w:val="18"/>
                <w:szCs w:val="18"/>
              </w:rPr>
              <w:t>0</w:t>
            </w:r>
            <w:r w:rsidRPr="009C24EE">
              <w:rPr>
                <w:sz w:val="18"/>
                <w:szCs w:val="18"/>
              </w:rPr>
              <w:t xml:space="preserve"> </w:t>
            </w:r>
          </w:p>
        </w:tc>
        <w:tc>
          <w:tcPr>
            <w:tcW w:w="674" w:type="pct"/>
            <w:shd w:val="clear" w:color="auto" w:fill="auto"/>
            <w:noWrap/>
          </w:tcPr>
          <w:p w14:paraId="34ECBE78"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7953DAE8"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2101E3E7"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840" w:type="pct"/>
            <w:shd w:val="clear" w:color="auto" w:fill="auto"/>
            <w:noWrap/>
          </w:tcPr>
          <w:p w14:paraId="6090E4DD" w14:textId="5EE6A264" w:rsidR="008B0571" w:rsidRPr="001030FC" w:rsidRDefault="008B0571" w:rsidP="008B0571">
            <w:pPr>
              <w:keepLines w:val="0"/>
              <w:spacing w:after="0" w:line="240" w:lineRule="auto"/>
              <w:jc w:val="right"/>
              <w:rPr>
                <w:b/>
                <w:bCs/>
                <w:sz w:val="18"/>
                <w:szCs w:val="18"/>
              </w:rPr>
            </w:pPr>
            <w:r w:rsidRPr="009C24EE">
              <w:rPr>
                <w:sz w:val="18"/>
                <w:szCs w:val="18"/>
              </w:rPr>
              <w:t xml:space="preserve"> 1,185.</w:t>
            </w:r>
            <w:r w:rsidR="00401AC6">
              <w:rPr>
                <w:sz w:val="18"/>
                <w:szCs w:val="18"/>
              </w:rPr>
              <w:t>0</w:t>
            </w:r>
            <w:r w:rsidRPr="009C24EE">
              <w:rPr>
                <w:sz w:val="18"/>
                <w:szCs w:val="18"/>
              </w:rPr>
              <w:t xml:space="preserve"> </w:t>
            </w:r>
          </w:p>
        </w:tc>
      </w:tr>
      <w:tr w:rsidR="008B0571" w:rsidRPr="00CD11DE" w14:paraId="62301F1E" w14:textId="77777777" w:rsidTr="006F3279">
        <w:trPr>
          <w:trHeight w:val="294"/>
        </w:trPr>
        <w:tc>
          <w:tcPr>
            <w:tcW w:w="1519" w:type="pct"/>
            <w:shd w:val="clear" w:color="auto" w:fill="06B1D6" w:themeFill="accent1"/>
            <w:vAlign w:val="center"/>
          </w:tcPr>
          <w:p w14:paraId="3854A3A1"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841" w:type="pct"/>
            <w:shd w:val="clear" w:color="auto" w:fill="auto"/>
            <w:noWrap/>
          </w:tcPr>
          <w:p w14:paraId="22161AA0" w14:textId="77777777" w:rsidR="008B0571" w:rsidRPr="001030FC" w:rsidRDefault="008B0571" w:rsidP="008B0571">
            <w:pPr>
              <w:keepLines w:val="0"/>
              <w:spacing w:after="0" w:line="240" w:lineRule="auto"/>
              <w:jc w:val="right"/>
              <w:rPr>
                <w:sz w:val="18"/>
                <w:szCs w:val="18"/>
              </w:rPr>
            </w:pPr>
            <w:r w:rsidRPr="009C24EE">
              <w:rPr>
                <w:sz w:val="18"/>
                <w:szCs w:val="18"/>
              </w:rPr>
              <w:t xml:space="preserve"> 6.2 </w:t>
            </w:r>
          </w:p>
        </w:tc>
        <w:tc>
          <w:tcPr>
            <w:tcW w:w="674" w:type="pct"/>
            <w:shd w:val="clear" w:color="auto" w:fill="auto"/>
            <w:noWrap/>
          </w:tcPr>
          <w:p w14:paraId="45083C60"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6800F6F4"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563" w:type="pct"/>
            <w:shd w:val="clear" w:color="auto" w:fill="auto"/>
            <w:noWrap/>
          </w:tcPr>
          <w:p w14:paraId="080EE4CE" w14:textId="77777777" w:rsidR="008B0571" w:rsidRPr="001030FC" w:rsidRDefault="008B0571" w:rsidP="008B0571">
            <w:pPr>
              <w:keepLines w:val="0"/>
              <w:spacing w:after="0" w:line="240" w:lineRule="auto"/>
              <w:jc w:val="right"/>
              <w:rPr>
                <w:sz w:val="18"/>
                <w:szCs w:val="18"/>
              </w:rPr>
            </w:pPr>
            <w:r w:rsidRPr="009C24EE">
              <w:rPr>
                <w:sz w:val="18"/>
                <w:szCs w:val="18"/>
              </w:rPr>
              <w:t xml:space="preserve"> -   </w:t>
            </w:r>
          </w:p>
        </w:tc>
        <w:tc>
          <w:tcPr>
            <w:tcW w:w="840" w:type="pct"/>
            <w:shd w:val="clear" w:color="auto" w:fill="auto"/>
            <w:noWrap/>
          </w:tcPr>
          <w:p w14:paraId="3E6C7778" w14:textId="77777777" w:rsidR="008B0571" w:rsidRPr="001030FC" w:rsidRDefault="008B0571" w:rsidP="008B0571">
            <w:pPr>
              <w:keepLines w:val="0"/>
              <w:spacing w:after="0" w:line="240" w:lineRule="auto"/>
              <w:jc w:val="right"/>
              <w:rPr>
                <w:b/>
                <w:bCs/>
                <w:sz w:val="18"/>
                <w:szCs w:val="18"/>
              </w:rPr>
            </w:pPr>
            <w:r w:rsidRPr="009C24EE">
              <w:rPr>
                <w:sz w:val="18"/>
                <w:szCs w:val="18"/>
              </w:rPr>
              <w:t xml:space="preserve"> 6.2 </w:t>
            </w:r>
          </w:p>
        </w:tc>
      </w:tr>
      <w:tr w:rsidR="008B0571" w:rsidRPr="00CD11DE" w14:paraId="3A1503CF" w14:textId="77777777" w:rsidTr="006F3279">
        <w:trPr>
          <w:trHeight w:val="294"/>
        </w:trPr>
        <w:tc>
          <w:tcPr>
            <w:tcW w:w="1519" w:type="pct"/>
            <w:shd w:val="clear" w:color="auto" w:fill="06B1D6" w:themeFill="accent1"/>
            <w:vAlign w:val="center"/>
            <w:hideMark/>
          </w:tcPr>
          <w:p w14:paraId="6B26AAA5"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841" w:type="pct"/>
            <w:shd w:val="clear" w:color="auto" w:fill="auto"/>
            <w:noWrap/>
          </w:tcPr>
          <w:p w14:paraId="456D7999" w14:textId="24777C56" w:rsidR="008B0571" w:rsidRPr="001030FC" w:rsidRDefault="008B0571" w:rsidP="008B0571">
            <w:pPr>
              <w:keepLines w:val="0"/>
              <w:spacing w:after="0" w:line="240" w:lineRule="auto"/>
              <w:jc w:val="right"/>
              <w:rPr>
                <w:b/>
                <w:bCs/>
                <w:sz w:val="18"/>
                <w:szCs w:val="18"/>
              </w:rPr>
            </w:pPr>
            <w:r w:rsidRPr="009C24EE">
              <w:rPr>
                <w:b/>
                <w:bCs/>
                <w:sz w:val="18"/>
                <w:szCs w:val="18"/>
              </w:rPr>
              <w:t xml:space="preserve"> 2,3</w:t>
            </w:r>
            <w:r w:rsidR="00401AC6">
              <w:rPr>
                <w:b/>
                <w:bCs/>
                <w:sz w:val="18"/>
                <w:szCs w:val="18"/>
              </w:rPr>
              <w:t>82.3</w:t>
            </w:r>
            <w:r w:rsidRPr="009C24EE">
              <w:rPr>
                <w:b/>
                <w:bCs/>
                <w:sz w:val="18"/>
                <w:szCs w:val="18"/>
              </w:rPr>
              <w:t xml:space="preserve"> </w:t>
            </w:r>
          </w:p>
        </w:tc>
        <w:tc>
          <w:tcPr>
            <w:tcW w:w="674" w:type="pct"/>
            <w:shd w:val="clear" w:color="auto" w:fill="auto"/>
            <w:noWrap/>
          </w:tcPr>
          <w:p w14:paraId="13DEAD97" w14:textId="21BBBC90" w:rsidR="008B0571" w:rsidRPr="001030FC" w:rsidRDefault="008B0571" w:rsidP="008B0571">
            <w:pPr>
              <w:keepLines w:val="0"/>
              <w:spacing w:after="0" w:line="240" w:lineRule="auto"/>
              <w:jc w:val="right"/>
              <w:rPr>
                <w:b/>
                <w:bCs/>
                <w:sz w:val="18"/>
                <w:szCs w:val="18"/>
              </w:rPr>
            </w:pPr>
            <w:r w:rsidRPr="009C24EE">
              <w:rPr>
                <w:b/>
                <w:bCs/>
                <w:sz w:val="18"/>
                <w:szCs w:val="18"/>
              </w:rPr>
              <w:t xml:space="preserve"> 2</w:t>
            </w:r>
            <w:r w:rsidR="00401AC6">
              <w:rPr>
                <w:b/>
                <w:bCs/>
                <w:sz w:val="18"/>
                <w:szCs w:val="18"/>
              </w:rPr>
              <w:t>88.3</w:t>
            </w:r>
            <w:r w:rsidRPr="009C24EE">
              <w:rPr>
                <w:b/>
                <w:bCs/>
                <w:sz w:val="18"/>
                <w:szCs w:val="18"/>
              </w:rPr>
              <w:t xml:space="preserve"> </w:t>
            </w:r>
          </w:p>
        </w:tc>
        <w:tc>
          <w:tcPr>
            <w:tcW w:w="563" w:type="pct"/>
            <w:shd w:val="clear" w:color="auto" w:fill="auto"/>
            <w:noWrap/>
          </w:tcPr>
          <w:p w14:paraId="60B62683" w14:textId="5CB59D7E" w:rsidR="008B0571" w:rsidRPr="001030FC" w:rsidRDefault="008B0571" w:rsidP="008B0571">
            <w:pPr>
              <w:keepLines w:val="0"/>
              <w:spacing w:after="0" w:line="240" w:lineRule="auto"/>
              <w:jc w:val="right"/>
              <w:rPr>
                <w:b/>
                <w:bCs/>
                <w:sz w:val="18"/>
                <w:szCs w:val="18"/>
              </w:rPr>
            </w:pPr>
            <w:r w:rsidRPr="009C24EE">
              <w:rPr>
                <w:b/>
                <w:bCs/>
                <w:sz w:val="18"/>
                <w:szCs w:val="18"/>
              </w:rPr>
              <w:t xml:space="preserve"> 9</w:t>
            </w:r>
            <w:r w:rsidR="00401AC6">
              <w:rPr>
                <w:b/>
                <w:bCs/>
                <w:sz w:val="18"/>
                <w:szCs w:val="18"/>
              </w:rPr>
              <w:t>8.3</w:t>
            </w:r>
            <w:r w:rsidRPr="009C24EE">
              <w:rPr>
                <w:b/>
                <w:bCs/>
                <w:sz w:val="18"/>
                <w:szCs w:val="18"/>
              </w:rPr>
              <w:t xml:space="preserve"> </w:t>
            </w:r>
          </w:p>
        </w:tc>
        <w:tc>
          <w:tcPr>
            <w:tcW w:w="563" w:type="pct"/>
            <w:shd w:val="clear" w:color="auto" w:fill="auto"/>
            <w:noWrap/>
          </w:tcPr>
          <w:p w14:paraId="46F05352" w14:textId="502B62B8" w:rsidR="008B0571" w:rsidRPr="001030FC" w:rsidRDefault="008B0571" w:rsidP="008B0571">
            <w:pPr>
              <w:keepLines w:val="0"/>
              <w:spacing w:after="0" w:line="240" w:lineRule="auto"/>
              <w:jc w:val="right"/>
              <w:rPr>
                <w:b/>
                <w:bCs/>
                <w:sz w:val="18"/>
                <w:szCs w:val="18"/>
              </w:rPr>
            </w:pPr>
            <w:r w:rsidRPr="009C24EE">
              <w:rPr>
                <w:b/>
                <w:bCs/>
                <w:sz w:val="18"/>
                <w:szCs w:val="18"/>
              </w:rPr>
              <w:t xml:space="preserve"> 36.</w:t>
            </w:r>
            <w:r w:rsidR="00C314D3">
              <w:rPr>
                <w:b/>
                <w:bCs/>
                <w:sz w:val="18"/>
                <w:szCs w:val="18"/>
              </w:rPr>
              <w:t>6</w:t>
            </w:r>
            <w:r w:rsidRPr="009C24EE">
              <w:rPr>
                <w:b/>
                <w:bCs/>
                <w:sz w:val="18"/>
                <w:szCs w:val="18"/>
              </w:rPr>
              <w:t xml:space="preserve"> </w:t>
            </w:r>
          </w:p>
        </w:tc>
        <w:tc>
          <w:tcPr>
            <w:tcW w:w="840" w:type="pct"/>
            <w:shd w:val="clear" w:color="auto" w:fill="auto"/>
            <w:noWrap/>
          </w:tcPr>
          <w:p w14:paraId="0CB94191" w14:textId="5286661D" w:rsidR="008B0571" w:rsidRPr="001030FC" w:rsidRDefault="008B0571" w:rsidP="008B0571">
            <w:pPr>
              <w:keepLines w:val="0"/>
              <w:spacing w:after="0" w:line="240" w:lineRule="auto"/>
              <w:jc w:val="right"/>
              <w:rPr>
                <w:b/>
                <w:bCs/>
                <w:sz w:val="18"/>
                <w:szCs w:val="18"/>
              </w:rPr>
            </w:pPr>
            <w:r w:rsidRPr="009C24EE">
              <w:rPr>
                <w:b/>
                <w:bCs/>
                <w:sz w:val="18"/>
                <w:szCs w:val="18"/>
              </w:rPr>
              <w:t xml:space="preserve"> 2,</w:t>
            </w:r>
            <w:r w:rsidR="00401AC6">
              <w:rPr>
                <w:b/>
                <w:bCs/>
                <w:sz w:val="18"/>
                <w:szCs w:val="18"/>
              </w:rPr>
              <w:t>80</w:t>
            </w:r>
            <w:r w:rsidR="00C314D3">
              <w:rPr>
                <w:b/>
                <w:bCs/>
                <w:sz w:val="18"/>
                <w:szCs w:val="18"/>
              </w:rPr>
              <w:t>5.5</w:t>
            </w:r>
            <w:r w:rsidRPr="009C24EE">
              <w:rPr>
                <w:b/>
                <w:bCs/>
                <w:sz w:val="18"/>
                <w:szCs w:val="18"/>
              </w:rPr>
              <w:t xml:space="preserve"> </w:t>
            </w:r>
          </w:p>
        </w:tc>
      </w:tr>
    </w:tbl>
    <w:p w14:paraId="6508AADC" w14:textId="77777777" w:rsidR="008B0571" w:rsidRPr="00CD11DE" w:rsidRDefault="008B0571" w:rsidP="008B0571">
      <w:pPr>
        <w:rPr>
          <w:b/>
          <w:bCs/>
          <w:sz w:val="20"/>
          <w:szCs w:val="20"/>
        </w:rPr>
      </w:pPr>
      <w:r w:rsidRPr="00CD11DE">
        <w:rPr>
          <w:b/>
          <w:bCs/>
          <w:sz w:val="20"/>
          <w:szCs w:val="20"/>
        </w:rPr>
        <w:t xml:space="preserve">Table </w:t>
      </w:r>
      <w:r w:rsidRPr="00CD11DE">
        <w:rPr>
          <w:b/>
          <w:bCs/>
          <w:sz w:val="20"/>
          <w:szCs w:val="20"/>
        </w:rPr>
        <w:fldChar w:fldCharType="begin"/>
      </w:r>
      <w:r w:rsidRPr="00CD11DE">
        <w:rPr>
          <w:b/>
          <w:bCs/>
          <w:sz w:val="20"/>
          <w:szCs w:val="20"/>
        </w:rPr>
        <w:instrText xml:space="preserve"> SEQ Table \* ARABIC </w:instrText>
      </w:r>
      <w:r w:rsidRPr="00CD11DE">
        <w:rPr>
          <w:b/>
          <w:bCs/>
          <w:sz w:val="20"/>
          <w:szCs w:val="20"/>
        </w:rPr>
        <w:fldChar w:fldCharType="separate"/>
      </w:r>
      <w:r w:rsidRPr="00CD11DE">
        <w:rPr>
          <w:b/>
          <w:bCs/>
          <w:noProof/>
          <w:sz w:val="20"/>
          <w:szCs w:val="20"/>
        </w:rPr>
        <w:t>14</w:t>
      </w:r>
      <w:r w:rsidRPr="00CD11DE">
        <w:rPr>
          <w:b/>
          <w:bCs/>
          <w:sz w:val="20"/>
          <w:szCs w:val="20"/>
        </w:rPr>
        <w:fldChar w:fldCharType="end"/>
      </w:r>
      <w:r w:rsidRPr="00CD11DE">
        <w:rPr>
          <w:b/>
          <w:bCs/>
          <w:sz w:val="20"/>
          <w:szCs w:val="20"/>
        </w:rPr>
        <w:t xml:space="preserve">: Credit risk exposures analysed by exposure class: 31 December </w:t>
      </w:r>
      <w:r>
        <w:rPr>
          <w:b/>
          <w:bCs/>
          <w:sz w:val="20"/>
          <w:szCs w:val="20"/>
        </w:rPr>
        <w:t>2024</w:t>
      </w:r>
    </w:p>
    <w:p w14:paraId="048C69B1" w14:textId="77777777" w:rsidR="008B0571" w:rsidRPr="00CD11DE" w:rsidRDefault="008B0571" w:rsidP="00F22F02">
      <w:pPr>
        <w:rPr>
          <w:b/>
          <w:bCs/>
          <w:sz w:val="20"/>
          <w:szCs w:val="20"/>
        </w:rPr>
      </w:pPr>
    </w:p>
    <w:tbl>
      <w:tblPr>
        <w:tblpPr w:leftFromText="180" w:rightFromText="180" w:vertAnchor="page" w:horzAnchor="margin" w:tblpY="10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417"/>
        <w:gridCol w:w="1118"/>
        <w:gridCol w:w="1118"/>
        <w:gridCol w:w="1118"/>
        <w:gridCol w:w="1417"/>
      </w:tblGrid>
      <w:tr w:rsidR="008B0571" w:rsidRPr="00CD11DE" w14:paraId="3DE9091E" w14:textId="77777777" w:rsidTr="006F3279">
        <w:trPr>
          <w:trHeight w:val="579"/>
        </w:trPr>
        <w:tc>
          <w:tcPr>
            <w:tcW w:w="1573" w:type="pct"/>
            <w:shd w:val="clear" w:color="auto" w:fill="06B1D6" w:themeFill="accent1"/>
            <w:vAlign w:val="center"/>
            <w:hideMark/>
          </w:tcPr>
          <w:p w14:paraId="5A4D4F71"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Asset Class</w:t>
            </w:r>
          </w:p>
        </w:tc>
        <w:tc>
          <w:tcPr>
            <w:tcW w:w="785" w:type="pct"/>
            <w:shd w:val="clear" w:color="auto" w:fill="06B1D6" w:themeFill="accent1"/>
            <w:vAlign w:val="center"/>
            <w:hideMark/>
          </w:tcPr>
          <w:p w14:paraId="62ED8627"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UK </w:t>
            </w:r>
          </w:p>
          <w:p w14:paraId="4D4079C8"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619" w:type="pct"/>
            <w:shd w:val="clear" w:color="auto" w:fill="06B1D6" w:themeFill="accent1"/>
            <w:vAlign w:val="center"/>
            <w:hideMark/>
          </w:tcPr>
          <w:p w14:paraId="3D8CD1E9"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Middle East (£m)</w:t>
            </w:r>
          </w:p>
        </w:tc>
        <w:tc>
          <w:tcPr>
            <w:tcW w:w="619" w:type="pct"/>
            <w:shd w:val="clear" w:color="auto" w:fill="06B1D6" w:themeFill="accent1"/>
            <w:vAlign w:val="center"/>
            <w:hideMark/>
          </w:tcPr>
          <w:p w14:paraId="5E5DB2D5"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Rest of the World </w:t>
            </w:r>
          </w:p>
          <w:p w14:paraId="4BA27164"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619" w:type="pct"/>
            <w:shd w:val="clear" w:color="auto" w:fill="06B1D6" w:themeFill="accent1"/>
            <w:vAlign w:val="center"/>
            <w:hideMark/>
          </w:tcPr>
          <w:p w14:paraId="31E4E544"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Global Supra-national (£m)</w:t>
            </w:r>
          </w:p>
        </w:tc>
        <w:tc>
          <w:tcPr>
            <w:tcW w:w="785" w:type="pct"/>
            <w:shd w:val="clear" w:color="auto" w:fill="06B1D6" w:themeFill="accent1"/>
            <w:vAlign w:val="center"/>
            <w:hideMark/>
          </w:tcPr>
          <w:p w14:paraId="353C36AC"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Total </w:t>
            </w:r>
          </w:p>
          <w:p w14:paraId="620A3D93" w14:textId="77777777" w:rsidR="008B0571" w:rsidRPr="00CD11DE" w:rsidRDefault="008B0571" w:rsidP="008B0571">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8B0571" w:rsidRPr="00CD11DE" w14:paraId="7F4C04A4" w14:textId="77777777" w:rsidTr="006F3279">
        <w:trPr>
          <w:trHeight w:val="357"/>
        </w:trPr>
        <w:tc>
          <w:tcPr>
            <w:tcW w:w="1573" w:type="pct"/>
            <w:shd w:val="clear" w:color="auto" w:fill="06B1D6" w:themeFill="accent1"/>
            <w:vAlign w:val="center"/>
            <w:hideMark/>
          </w:tcPr>
          <w:p w14:paraId="300FA023"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assets (bank counterparties)</w:t>
            </w:r>
          </w:p>
        </w:tc>
        <w:tc>
          <w:tcPr>
            <w:tcW w:w="785" w:type="pct"/>
            <w:shd w:val="clear" w:color="auto" w:fill="auto"/>
            <w:noWrap/>
            <w:vAlign w:val="center"/>
            <w:hideMark/>
          </w:tcPr>
          <w:p w14:paraId="627F2931"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264.4</w:t>
            </w:r>
          </w:p>
        </w:tc>
        <w:tc>
          <w:tcPr>
            <w:tcW w:w="619" w:type="pct"/>
            <w:shd w:val="clear" w:color="auto" w:fill="auto"/>
            <w:noWrap/>
            <w:vAlign w:val="center"/>
            <w:hideMark/>
          </w:tcPr>
          <w:p w14:paraId="435C2BC5"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137.2</w:t>
            </w:r>
          </w:p>
        </w:tc>
        <w:tc>
          <w:tcPr>
            <w:tcW w:w="619" w:type="pct"/>
            <w:shd w:val="clear" w:color="auto" w:fill="auto"/>
            <w:noWrap/>
            <w:vAlign w:val="center"/>
            <w:hideMark/>
          </w:tcPr>
          <w:p w14:paraId="4207FEC8"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hideMark/>
          </w:tcPr>
          <w:p w14:paraId="47C60CCE"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785" w:type="pct"/>
            <w:shd w:val="clear" w:color="auto" w:fill="auto"/>
            <w:noWrap/>
            <w:vAlign w:val="center"/>
            <w:hideMark/>
          </w:tcPr>
          <w:p w14:paraId="13E625FD" w14:textId="77777777" w:rsidR="008B0571" w:rsidRPr="00CD11DE" w:rsidRDefault="008B0571" w:rsidP="008B0571">
            <w:pPr>
              <w:keepLines w:val="0"/>
              <w:spacing w:after="0" w:line="240" w:lineRule="auto"/>
              <w:jc w:val="right"/>
              <w:rPr>
                <w:rFonts w:eastAsia="Times New Roman"/>
                <w:b/>
                <w:bCs/>
                <w:sz w:val="18"/>
                <w:szCs w:val="18"/>
              </w:rPr>
            </w:pPr>
            <w:r w:rsidRPr="00CD11DE">
              <w:rPr>
                <w:b/>
                <w:bCs/>
                <w:sz w:val="18"/>
                <w:szCs w:val="18"/>
              </w:rPr>
              <w:t>401.6</w:t>
            </w:r>
          </w:p>
        </w:tc>
      </w:tr>
      <w:tr w:rsidR="008B0571" w:rsidRPr="00CD11DE" w14:paraId="32281886" w14:textId="77777777" w:rsidTr="006F3279">
        <w:trPr>
          <w:trHeight w:val="357"/>
        </w:trPr>
        <w:tc>
          <w:tcPr>
            <w:tcW w:w="1573" w:type="pct"/>
            <w:shd w:val="clear" w:color="auto" w:fill="06B1D6" w:themeFill="accent1"/>
            <w:vAlign w:val="center"/>
            <w:hideMark/>
          </w:tcPr>
          <w:p w14:paraId="225B0E74"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785" w:type="pct"/>
            <w:shd w:val="clear" w:color="auto" w:fill="auto"/>
            <w:noWrap/>
            <w:vAlign w:val="center"/>
            <w:hideMark/>
          </w:tcPr>
          <w:p w14:paraId="1A4629D2"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0.7</w:t>
            </w:r>
          </w:p>
        </w:tc>
        <w:tc>
          <w:tcPr>
            <w:tcW w:w="619" w:type="pct"/>
            <w:shd w:val="clear" w:color="auto" w:fill="auto"/>
            <w:noWrap/>
            <w:vAlign w:val="center"/>
            <w:hideMark/>
          </w:tcPr>
          <w:p w14:paraId="10BF212D"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hideMark/>
          </w:tcPr>
          <w:p w14:paraId="0F68848E"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94.1</w:t>
            </w:r>
          </w:p>
        </w:tc>
        <w:tc>
          <w:tcPr>
            <w:tcW w:w="619" w:type="pct"/>
            <w:shd w:val="clear" w:color="auto" w:fill="auto"/>
            <w:noWrap/>
            <w:vAlign w:val="center"/>
            <w:hideMark/>
          </w:tcPr>
          <w:p w14:paraId="37B200D2"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53.9</w:t>
            </w:r>
          </w:p>
        </w:tc>
        <w:tc>
          <w:tcPr>
            <w:tcW w:w="785" w:type="pct"/>
            <w:shd w:val="clear" w:color="auto" w:fill="auto"/>
            <w:noWrap/>
            <w:vAlign w:val="center"/>
            <w:hideMark/>
          </w:tcPr>
          <w:p w14:paraId="42D64BD6" w14:textId="77777777" w:rsidR="008B0571" w:rsidRPr="00CD11DE" w:rsidRDefault="008B0571" w:rsidP="008B0571">
            <w:pPr>
              <w:keepLines w:val="0"/>
              <w:spacing w:after="0" w:line="240" w:lineRule="auto"/>
              <w:jc w:val="right"/>
              <w:rPr>
                <w:rFonts w:eastAsia="Times New Roman"/>
                <w:b/>
                <w:bCs/>
                <w:sz w:val="18"/>
                <w:szCs w:val="18"/>
              </w:rPr>
            </w:pPr>
            <w:r w:rsidRPr="00CD11DE">
              <w:rPr>
                <w:b/>
                <w:bCs/>
                <w:sz w:val="18"/>
                <w:szCs w:val="18"/>
              </w:rPr>
              <w:t>148.7</w:t>
            </w:r>
          </w:p>
        </w:tc>
      </w:tr>
      <w:tr w:rsidR="008B0571" w:rsidRPr="00CD11DE" w14:paraId="5A1DDC29" w14:textId="77777777" w:rsidTr="006F3279">
        <w:trPr>
          <w:trHeight w:val="357"/>
        </w:trPr>
        <w:tc>
          <w:tcPr>
            <w:tcW w:w="1573" w:type="pct"/>
            <w:shd w:val="clear" w:color="auto" w:fill="06B1D6" w:themeFill="accent1"/>
            <w:vAlign w:val="center"/>
            <w:hideMark/>
          </w:tcPr>
          <w:p w14:paraId="4741A6F8"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785" w:type="pct"/>
            <w:shd w:val="clear" w:color="auto" w:fill="auto"/>
            <w:noWrap/>
            <w:vAlign w:val="center"/>
            <w:hideMark/>
          </w:tcPr>
          <w:p w14:paraId="3CAF4D36"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992.9</w:t>
            </w:r>
          </w:p>
        </w:tc>
        <w:tc>
          <w:tcPr>
            <w:tcW w:w="619" w:type="pct"/>
            <w:shd w:val="clear" w:color="auto" w:fill="auto"/>
            <w:noWrap/>
            <w:vAlign w:val="center"/>
            <w:hideMark/>
          </w:tcPr>
          <w:p w14:paraId="2C31F7A5"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hideMark/>
          </w:tcPr>
          <w:p w14:paraId="13F6456B"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0.2</w:t>
            </w:r>
          </w:p>
        </w:tc>
        <w:tc>
          <w:tcPr>
            <w:tcW w:w="619" w:type="pct"/>
            <w:shd w:val="clear" w:color="auto" w:fill="auto"/>
            <w:noWrap/>
            <w:vAlign w:val="center"/>
            <w:hideMark/>
          </w:tcPr>
          <w:p w14:paraId="69D1D07E"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785" w:type="pct"/>
            <w:shd w:val="clear" w:color="auto" w:fill="auto"/>
            <w:noWrap/>
            <w:vAlign w:val="center"/>
            <w:hideMark/>
          </w:tcPr>
          <w:p w14:paraId="31385B93" w14:textId="77777777" w:rsidR="008B0571" w:rsidRPr="00CD11DE" w:rsidRDefault="008B0571" w:rsidP="008B0571">
            <w:pPr>
              <w:keepLines w:val="0"/>
              <w:spacing w:after="0" w:line="240" w:lineRule="auto"/>
              <w:jc w:val="right"/>
              <w:rPr>
                <w:rFonts w:eastAsia="Times New Roman"/>
                <w:b/>
                <w:bCs/>
                <w:sz w:val="18"/>
                <w:szCs w:val="18"/>
              </w:rPr>
            </w:pPr>
            <w:r w:rsidRPr="00CD11DE">
              <w:rPr>
                <w:b/>
                <w:bCs/>
                <w:sz w:val="18"/>
                <w:szCs w:val="18"/>
              </w:rPr>
              <w:t>993.1</w:t>
            </w:r>
          </w:p>
        </w:tc>
      </w:tr>
      <w:tr w:rsidR="008B0571" w:rsidRPr="00CD11DE" w14:paraId="626566FD" w14:textId="77777777" w:rsidTr="006F3279">
        <w:trPr>
          <w:trHeight w:val="357"/>
        </w:trPr>
        <w:tc>
          <w:tcPr>
            <w:tcW w:w="1573" w:type="pct"/>
            <w:shd w:val="clear" w:color="auto" w:fill="06B1D6" w:themeFill="accent1"/>
            <w:vAlign w:val="center"/>
            <w:hideMark/>
          </w:tcPr>
          <w:p w14:paraId="4693EEDB"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785" w:type="pct"/>
            <w:shd w:val="clear" w:color="auto" w:fill="auto"/>
            <w:noWrap/>
            <w:vAlign w:val="center"/>
            <w:hideMark/>
          </w:tcPr>
          <w:p w14:paraId="343F18DB"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900.0</w:t>
            </w:r>
          </w:p>
        </w:tc>
        <w:tc>
          <w:tcPr>
            <w:tcW w:w="619" w:type="pct"/>
            <w:shd w:val="clear" w:color="auto" w:fill="auto"/>
            <w:noWrap/>
            <w:vAlign w:val="center"/>
            <w:hideMark/>
          </w:tcPr>
          <w:p w14:paraId="73A96678"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hideMark/>
          </w:tcPr>
          <w:p w14:paraId="44CCEC6D"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hideMark/>
          </w:tcPr>
          <w:p w14:paraId="0496DB8E"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785" w:type="pct"/>
            <w:shd w:val="clear" w:color="auto" w:fill="auto"/>
            <w:noWrap/>
            <w:vAlign w:val="center"/>
            <w:hideMark/>
          </w:tcPr>
          <w:p w14:paraId="2A7194C7" w14:textId="77777777" w:rsidR="008B0571" w:rsidRPr="00CD11DE" w:rsidRDefault="008B0571" w:rsidP="008B0571">
            <w:pPr>
              <w:keepLines w:val="0"/>
              <w:spacing w:after="0" w:line="240" w:lineRule="auto"/>
              <w:jc w:val="right"/>
              <w:rPr>
                <w:rFonts w:eastAsia="Times New Roman"/>
                <w:b/>
                <w:bCs/>
                <w:sz w:val="18"/>
                <w:szCs w:val="18"/>
              </w:rPr>
            </w:pPr>
            <w:r w:rsidRPr="00CD11DE">
              <w:rPr>
                <w:b/>
                <w:bCs/>
                <w:sz w:val="18"/>
                <w:szCs w:val="18"/>
              </w:rPr>
              <w:t>900.0</w:t>
            </w:r>
          </w:p>
        </w:tc>
      </w:tr>
      <w:tr w:rsidR="008B0571" w:rsidRPr="00CD11DE" w14:paraId="65AADF77" w14:textId="77777777" w:rsidTr="006F3279">
        <w:trPr>
          <w:trHeight w:val="357"/>
        </w:trPr>
        <w:tc>
          <w:tcPr>
            <w:tcW w:w="1573" w:type="pct"/>
            <w:shd w:val="clear" w:color="auto" w:fill="06B1D6" w:themeFill="accent1"/>
            <w:vAlign w:val="center"/>
          </w:tcPr>
          <w:p w14:paraId="672CE9CD"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785" w:type="pct"/>
            <w:shd w:val="clear" w:color="auto" w:fill="auto"/>
            <w:noWrap/>
            <w:vAlign w:val="center"/>
          </w:tcPr>
          <w:p w14:paraId="41123AE9"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11.2</w:t>
            </w:r>
          </w:p>
        </w:tc>
        <w:tc>
          <w:tcPr>
            <w:tcW w:w="619" w:type="pct"/>
            <w:shd w:val="clear" w:color="auto" w:fill="auto"/>
            <w:noWrap/>
            <w:vAlign w:val="center"/>
          </w:tcPr>
          <w:p w14:paraId="736AC386"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tcPr>
          <w:p w14:paraId="61DBE570"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619" w:type="pct"/>
            <w:shd w:val="clear" w:color="auto" w:fill="auto"/>
            <w:noWrap/>
            <w:vAlign w:val="center"/>
          </w:tcPr>
          <w:p w14:paraId="4BFDD9F8" w14:textId="77777777" w:rsidR="008B0571" w:rsidRPr="00CD11DE" w:rsidRDefault="008B0571" w:rsidP="008B0571">
            <w:pPr>
              <w:keepLines w:val="0"/>
              <w:spacing w:after="0" w:line="240" w:lineRule="auto"/>
              <w:jc w:val="right"/>
              <w:rPr>
                <w:rFonts w:eastAsia="Times New Roman"/>
                <w:sz w:val="18"/>
                <w:szCs w:val="18"/>
              </w:rPr>
            </w:pPr>
            <w:r w:rsidRPr="00CD11DE">
              <w:rPr>
                <w:sz w:val="18"/>
                <w:szCs w:val="18"/>
              </w:rPr>
              <w:t>-</w:t>
            </w:r>
          </w:p>
        </w:tc>
        <w:tc>
          <w:tcPr>
            <w:tcW w:w="785" w:type="pct"/>
            <w:shd w:val="clear" w:color="auto" w:fill="auto"/>
            <w:noWrap/>
            <w:vAlign w:val="center"/>
          </w:tcPr>
          <w:p w14:paraId="649FE897" w14:textId="77777777" w:rsidR="008B0571" w:rsidRPr="00CD11DE" w:rsidRDefault="008B0571" w:rsidP="008B0571">
            <w:pPr>
              <w:keepLines w:val="0"/>
              <w:spacing w:after="0" w:line="240" w:lineRule="auto"/>
              <w:jc w:val="right"/>
              <w:rPr>
                <w:rFonts w:eastAsia="Times New Roman"/>
                <w:b/>
                <w:bCs/>
                <w:sz w:val="18"/>
                <w:szCs w:val="18"/>
              </w:rPr>
            </w:pPr>
            <w:r w:rsidRPr="00CD11DE">
              <w:rPr>
                <w:b/>
                <w:bCs/>
                <w:sz w:val="18"/>
                <w:szCs w:val="18"/>
              </w:rPr>
              <w:t>11.2</w:t>
            </w:r>
          </w:p>
        </w:tc>
      </w:tr>
      <w:tr w:rsidR="008B0571" w:rsidRPr="00CD11DE" w14:paraId="43D0E05F" w14:textId="77777777" w:rsidTr="006F3279">
        <w:trPr>
          <w:trHeight w:val="357"/>
        </w:trPr>
        <w:tc>
          <w:tcPr>
            <w:tcW w:w="1573" w:type="pct"/>
            <w:shd w:val="clear" w:color="auto" w:fill="06B1D6" w:themeFill="accent1"/>
            <w:vAlign w:val="center"/>
            <w:hideMark/>
          </w:tcPr>
          <w:p w14:paraId="674BC6AC" w14:textId="77777777" w:rsidR="008B0571" w:rsidRPr="00CD11DE" w:rsidRDefault="008B0571" w:rsidP="008B0571">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w:t>
            </w:r>
          </w:p>
        </w:tc>
        <w:tc>
          <w:tcPr>
            <w:tcW w:w="785" w:type="pct"/>
            <w:shd w:val="clear" w:color="auto" w:fill="auto"/>
            <w:noWrap/>
            <w:vAlign w:val="center"/>
            <w:hideMark/>
          </w:tcPr>
          <w:p w14:paraId="6111AAA5" w14:textId="77777777" w:rsidR="008B0571" w:rsidRPr="00CD11DE" w:rsidRDefault="008B0571" w:rsidP="008B0571">
            <w:pPr>
              <w:keepLines w:val="0"/>
              <w:spacing w:after="0" w:line="240" w:lineRule="auto"/>
              <w:jc w:val="right"/>
              <w:rPr>
                <w:b/>
                <w:bCs/>
                <w:sz w:val="18"/>
                <w:szCs w:val="18"/>
              </w:rPr>
            </w:pPr>
            <w:r w:rsidRPr="00CD11DE">
              <w:rPr>
                <w:b/>
                <w:bCs/>
                <w:sz w:val="18"/>
                <w:szCs w:val="18"/>
              </w:rPr>
              <w:t>2,169.</w:t>
            </w:r>
            <w:r>
              <w:rPr>
                <w:b/>
                <w:bCs/>
                <w:sz w:val="18"/>
                <w:szCs w:val="18"/>
              </w:rPr>
              <w:t>2</w:t>
            </w:r>
          </w:p>
        </w:tc>
        <w:tc>
          <w:tcPr>
            <w:tcW w:w="619" w:type="pct"/>
            <w:shd w:val="clear" w:color="auto" w:fill="auto"/>
            <w:noWrap/>
            <w:vAlign w:val="center"/>
            <w:hideMark/>
          </w:tcPr>
          <w:p w14:paraId="7DCC66F0" w14:textId="77777777" w:rsidR="008B0571" w:rsidRPr="00CD11DE" w:rsidRDefault="008B0571" w:rsidP="008B0571">
            <w:pPr>
              <w:keepLines w:val="0"/>
              <w:spacing w:after="0" w:line="240" w:lineRule="auto"/>
              <w:jc w:val="right"/>
              <w:rPr>
                <w:b/>
                <w:bCs/>
                <w:sz w:val="18"/>
                <w:szCs w:val="18"/>
              </w:rPr>
            </w:pPr>
            <w:r w:rsidRPr="00CD11DE">
              <w:rPr>
                <w:b/>
                <w:bCs/>
                <w:sz w:val="18"/>
                <w:szCs w:val="18"/>
              </w:rPr>
              <w:t>137.2</w:t>
            </w:r>
          </w:p>
        </w:tc>
        <w:tc>
          <w:tcPr>
            <w:tcW w:w="619" w:type="pct"/>
            <w:shd w:val="clear" w:color="auto" w:fill="auto"/>
            <w:noWrap/>
            <w:vAlign w:val="center"/>
            <w:hideMark/>
          </w:tcPr>
          <w:p w14:paraId="2595EDB7" w14:textId="77777777" w:rsidR="008B0571" w:rsidRPr="00CD11DE" w:rsidRDefault="008B0571" w:rsidP="008B0571">
            <w:pPr>
              <w:keepLines w:val="0"/>
              <w:spacing w:after="0" w:line="240" w:lineRule="auto"/>
              <w:jc w:val="right"/>
              <w:rPr>
                <w:b/>
                <w:bCs/>
                <w:sz w:val="18"/>
                <w:szCs w:val="18"/>
              </w:rPr>
            </w:pPr>
            <w:r w:rsidRPr="00CD11DE">
              <w:rPr>
                <w:b/>
                <w:bCs/>
                <w:sz w:val="18"/>
                <w:szCs w:val="18"/>
              </w:rPr>
              <w:t>94.3</w:t>
            </w:r>
          </w:p>
        </w:tc>
        <w:tc>
          <w:tcPr>
            <w:tcW w:w="619" w:type="pct"/>
            <w:shd w:val="clear" w:color="auto" w:fill="auto"/>
            <w:noWrap/>
            <w:vAlign w:val="center"/>
            <w:hideMark/>
          </w:tcPr>
          <w:p w14:paraId="03CD47F2" w14:textId="77777777" w:rsidR="008B0571" w:rsidRPr="00CD11DE" w:rsidRDefault="008B0571" w:rsidP="008B0571">
            <w:pPr>
              <w:keepLines w:val="0"/>
              <w:spacing w:after="0" w:line="240" w:lineRule="auto"/>
              <w:jc w:val="right"/>
              <w:rPr>
                <w:b/>
                <w:bCs/>
                <w:sz w:val="18"/>
                <w:szCs w:val="18"/>
              </w:rPr>
            </w:pPr>
            <w:r w:rsidRPr="00CD11DE">
              <w:rPr>
                <w:b/>
                <w:bCs/>
                <w:sz w:val="18"/>
                <w:szCs w:val="18"/>
              </w:rPr>
              <w:t>53.9</w:t>
            </w:r>
          </w:p>
        </w:tc>
        <w:tc>
          <w:tcPr>
            <w:tcW w:w="785" w:type="pct"/>
            <w:shd w:val="clear" w:color="auto" w:fill="auto"/>
            <w:noWrap/>
            <w:vAlign w:val="center"/>
            <w:hideMark/>
          </w:tcPr>
          <w:p w14:paraId="754DC6CF" w14:textId="77777777" w:rsidR="008B0571" w:rsidRPr="00CD11DE" w:rsidRDefault="008B0571" w:rsidP="008B0571">
            <w:pPr>
              <w:keepLines w:val="0"/>
              <w:spacing w:after="0" w:line="240" w:lineRule="auto"/>
              <w:jc w:val="right"/>
              <w:rPr>
                <w:b/>
                <w:bCs/>
                <w:sz w:val="18"/>
                <w:szCs w:val="18"/>
              </w:rPr>
            </w:pPr>
            <w:r w:rsidRPr="00CD11DE">
              <w:rPr>
                <w:b/>
                <w:bCs/>
                <w:sz w:val="18"/>
                <w:szCs w:val="18"/>
              </w:rPr>
              <w:t>2,454.6</w:t>
            </w:r>
          </w:p>
        </w:tc>
      </w:tr>
    </w:tbl>
    <w:p w14:paraId="609C6E11" w14:textId="71B7815F" w:rsidR="008B0571" w:rsidRPr="00C62D72" w:rsidRDefault="008B0571" w:rsidP="008B0571">
      <w:pPr>
        <w:rPr>
          <w:b/>
          <w:bCs/>
          <w:sz w:val="18"/>
          <w:szCs w:val="18"/>
        </w:rPr>
      </w:pPr>
      <w:r w:rsidRPr="00CD11DE">
        <w:rPr>
          <w:b/>
          <w:bCs/>
          <w:sz w:val="20"/>
          <w:szCs w:val="20"/>
        </w:rPr>
        <w:t xml:space="preserve">Table </w:t>
      </w:r>
      <w:r w:rsidRPr="00CD11DE">
        <w:rPr>
          <w:b/>
          <w:bCs/>
          <w:sz w:val="20"/>
          <w:szCs w:val="20"/>
        </w:rPr>
        <w:fldChar w:fldCharType="begin"/>
      </w:r>
      <w:r w:rsidRPr="00CD11DE">
        <w:rPr>
          <w:b/>
          <w:bCs/>
          <w:sz w:val="20"/>
          <w:szCs w:val="20"/>
        </w:rPr>
        <w:instrText xml:space="preserve"> SEQ Table \* ARABIC </w:instrText>
      </w:r>
      <w:r w:rsidRPr="00CD11DE">
        <w:rPr>
          <w:b/>
          <w:bCs/>
          <w:sz w:val="20"/>
          <w:szCs w:val="20"/>
        </w:rPr>
        <w:fldChar w:fldCharType="separate"/>
      </w:r>
      <w:r w:rsidRPr="00CD11DE">
        <w:rPr>
          <w:b/>
          <w:bCs/>
          <w:noProof/>
          <w:sz w:val="20"/>
          <w:szCs w:val="20"/>
        </w:rPr>
        <w:t>15</w:t>
      </w:r>
      <w:r w:rsidRPr="00CD11DE">
        <w:rPr>
          <w:b/>
          <w:bCs/>
          <w:sz w:val="20"/>
          <w:szCs w:val="20"/>
        </w:rPr>
        <w:fldChar w:fldCharType="end"/>
      </w:r>
      <w:r w:rsidRPr="00CD11DE">
        <w:rPr>
          <w:b/>
          <w:bCs/>
          <w:sz w:val="20"/>
          <w:szCs w:val="20"/>
        </w:rPr>
        <w:t xml:space="preserve">: Credit risk exposures analysed by exposure class: 31 December </w:t>
      </w:r>
      <w:r>
        <w:rPr>
          <w:b/>
          <w:bCs/>
          <w:sz w:val="20"/>
          <w:szCs w:val="20"/>
        </w:rPr>
        <w:t>2023</w:t>
      </w:r>
    </w:p>
    <w:p w14:paraId="705CF9A1" w14:textId="77777777" w:rsidR="008B0571" w:rsidRDefault="008B0571" w:rsidP="00AD5987">
      <w:pPr>
        <w:rPr>
          <w:sz w:val="20"/>
          <w:szCs w:val="20"/>
        </w:rPr>
      </w:pPr>
    </w:p>
    <w:p w14:paraId="0C8ED0E5" w14:textId="26818B74" w:rsidR="00AD5987" w:rsidRPr="00C62D72" w:rsidRDefault="00AD5987" w:rsidP="00AD5987">
      <w:pPr>
        <w:rPr>
          <w:b/>
          <w:bCs/>
          <w:sz w:val="18"/>
          <w:szCs w:val="18"/>
        </w:rPr>
      </w:pPr>
    </w:p>
    <w:p w14:paraId="0B333843" w14:textId="36781E1F" w:rsidR="00F4098A" w:rsidRPr="00C62D72" w:rsidRDefault="007E0FA4" w:rsidP="00B35480">
      <w:pPr>
        <w:pStyle w:val="Heading3"/>
        <w:rPr>
          <w:lang w:val="en-GB"/>
        </w:rPr>
      </w:pPr>
      <w:bookmarkStart w:id="281" w:name="_Toc492111190"/>
      <w:r w:rsidRPr="00C62D72">
        <w:rPr>
          <w:lang w:val="en-GB"/>
        </w:rPr>
        <w:lastRenderedPageBreak/>
        <w:t>Distribution of Credit risk exposures by residual maturity</w:t>
      </w:r>
    </w:p>
    <w:p w14:paraId="48C71341" w14:textId="051A0E4F" w:rsidR="00842974" w:rsidRPr="00CD11DE" w:rsidRDefault="00D64EC0" w:rsidP="00F260C3">
      <w:pPr>
        <w:pStyle w:val="Caption"/>
      </w:pPr>
      <w:r>
        <w:t>T</w:t>
      </w:r>
      <w:r w:rsidR="00842974" w:rsidRPr="00CD11DE">
        <w:t xml:space="preserve">able </w:t>
      </w:r>
      <w:r w:rsidR="00842974" w:rsidRPr="00CD11DE">
        <w:fldChar w:fldCharType="begin"/>
      </w:r>
      <w:r w:rsidR="00842974" w:rsidRPr="00CD11DE">
        <w:instrText xml:space="preserve"> SEQ Table \* ARABIC </w:instrText>
      </w:r>
      <w:r w:rsidR="00842974" w:rsidRPr="00CD11DE">
        <w:fldChar w:fldCharType="separate"/>
      </w:r>
      <w:r w:rsidR="00842974" w:rsidRPr="00CD11DE">
        <w:rPr>
          <w:noProof/>
        </w:rPr>
        <w:t>16</w:t>
      </w:r>
      <w:r w:rsidR="00842974" w:rsidRPr="00CD11DE">
        <w:fldChar w:fldCharType="end"/>
      </w:r>
      <w:r w:rsidR="00842974" w:rsidRPr="00CD11DE">
        <w:t xml:space="preserve">: Residual contractual maturity of credit risk exposures: 31 December </w:t>
      </w:r>
      <w:r w:rsidR="0023087C">
        <w:t>2024</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1504"/>
        <w:gridCol w:w="1504"/>
        <w:gridCol w:w="1504"/>
        <w:gridCol w:w="1504"/>
      </w:tblGrid>
      <w:tr w:rsidR="00D64EC0" w:rsidRPr="00CD11DE" w14:paraId="290D0D81" w14:textId="77777777" w:rsidTr="006F3279">
        <w:trPr>
          <w:trHeight w:val="294"/>
        </w:trPr>
        <w:tc>
          <w:tcPr>
            <w:tcW w:w="1668" w:type="pct"/>
            <w:shd w:val="clear" w:color="auto" w:fill="06B1D6" w:themeFill="accent1"/>
            <w:vAlign w:val="center"/>
            <w:hideMark/>
          </w:tcPr>
          <w:p w14:paraId="6AF644FE" w14:textId="77777777" w:rsidR="00D64EC0" w:rsidRPr="00CD11DE" w:rsidRDefault="00D64EC0" w:rsidP="00D64EC0">
            <w:pPr>
              <w:keepLines w:val="0"/>
              <w:spacing w:after="0" w:line="240" w:lineRule="auto"/>
              <w:jc w:val="left"/>
              <w:rPr>
                <w:rFonts w:eastAsia="Times New Roman"/>
                <w:b/>
                <w:bCs/>
                <w:color w:val="FFFFFF"/>
                <w:sz w:val="18"/>
                <w:szCs w:val="18"/>
              </w:rPr>
            </w:pPr>
            <w:bookmarkStart w:id="282" w:name="_Toc492111191"/>
            <w:r w:rsidRPr="00CD11DE">
              <w:rPr>
                <w:rFonts w:eastAsia="Times New Roman"/>
                <w:b/>
                <w:bCs/>
                <w:color w:val="FFFFFF"/>
                <w:sz w:val="18"/>
                <w:szCs w:val="18"/>
              </w:rPr>
              <w:t> Asset Class</w:t>
            </w:r>
          </w:p>
        </w:tc>
        <w:tc>
          <w:tcPr>
            <w:tcW w:w="833" w:type="pct"/>
            <w:shd w:val="clear" w:color="auto" w:fill="06B1D6" w:themeFill="accent1"/>
            <w:vAlign w:val="center"/>
            <w:hideMark/>
          </w:tcPr>
          <w:p w14:paraId="04C1B9EA"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&lt; 1 year </w:t>
            </w:r>
          </w:p>
          <w:p w14:paraId="17060061"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33" w:type="pct"/>
            <w:shd w:val="clear" w:color="auto" w:fill="06B1D6" w:themeFill="accent1"/>
            <w:vAlign w:val="center"/>
            <w:hideMark/>
          </w:tcPr>
          <w:p w14:paraId="5C494FD2"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1 – 5 years </w:t>
            </w:r>
          </w:p>
          <w:p w14:paraId="0388092E"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33" w:type="pct"/>
            <w:shd w:val="clear" w:color="auto" w:fill="06B1D6" w:themeFill="accent1"/>
            <w:vAlign w:val="center"/>
            <w:hideMark/>
          </w:tcPr>
          <w:p w14:paraId="14D4CDAE"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More than 5 years </w:t>
            </w:r>
          </w:p>
          <w:p w14:paraId="42E346E1"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33" w:type="pct"/>
            <w:shd w:val="clear" w:color="auto" w:fill="06B1D6" w:themeFill="accent1"/>
            <w:vAlign w:val="center"/>
            <w:hideMark/>
          </w:tcPr>
          <w:p w14:paraId="24230832"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Total </w:t>
            </w:r>
          </w:p>
          <w:p w14:paraId="6EFE3390" w14:textId="77777777" w:rsidR="00D64EC0" w:rsidRPr="00CD11DE" w:rsidRDefault="00D64EC0" w:rsidP="00D64EC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173B0E" w:rsidRPr="00CD11DE" w14:paraId="6E7A3BA8" w14:textId="77777777" w:rsidTr="006F3279">
        <w:trPr>
          <w:trHeight w:val="294"/>
        </w:trPr>
        <w:tc>
          <w:tcPr>
            <w:tcW w:w="1668" w:type="pct"/>
            <w:shd w:val="clear" w:color="auto" w:fill="06B1D6" w:themeFill="accent1"/>
            <w:vAlign w:val="center"/>
            <w:hideMark/>
          </w:tcPr>
          <w:p w14:paraId="74CBE0CE"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Treasury placements and cash balances with banks</w:t>
            </w:r>
          </w:p>
        </w:tc>
        <w:tc>
          <w:tcPr>
            <w:tcW w:w="833" w:type="pct"/>
            <w:shd w:val="clear" w:color="auto" w:fill="auto"/>
            <w:noWrap/>
          </w:tcPr>
          <w:p w14:paraId="4C7C41F6" w14:textId="4830656A" w:rsidR="00173B0E" w:rsidRPr="00173B0E" w:rsidRDefault="00173B0E" w:rsidP="00173B0E">
            <w:pPr>
              <w:keepLines w:val="0"/>
              <w:spacing w:after="0" w:line="240" w:lineRule="auto"/>
              <w:jc w:val="right"/>
              <w:rPr>
                <w:sz w:val="18"/>
                <w:szCs w:val="18"/>
              </w:rPr>
            </w:pPr>
            <w:r w:rsidRPr="007E0530">
              <w:rPr>
                <w:sz w:val="18"/>
                <w:szCs w:val="18"/>
              </w:rPr>
              <w:t xml:space="preserve"> 5</w:t>
            </w:r>
            <w:r w:rsidR="008F6A66">
              <w:rPr>
                <w:sz w:val="18"/>
                <w:szCs w:val="18"/>
              </w:rPr>
              <w:t>39.4</w:t>
            </w:r>
            <w:r w:rsidRPr="007E0530">
              <w:rPr>
                <w:sz w:val="18"/>
                <w:szCs w:val="18"/>
              </w:rPr>
              <w:t xml:space="preserve"> </w:t>
            </w:r>
          </w:p>
        </w:tc>
        <w:tc>
          <w:tcPr>
            <w:tcW w:w="833" w:type="pct"/>
            <w:shd w:val="clear" w:color="auto" w:fill="auto"/>
            <w:noWrap/>
          </w:tcPr>
          <w:p w14:paraId="55FB4F69" w14:textId="03AF743F" w:rsidR="00173B0E" w:rsidRPr="00173B0E" w:rsidRDefault="00173B0E" w:rsidP="00173B0E">
            <w:pPr>
              <w:keepLines w:val="0"/>
              <w:spacing w:after="0" w:line="240" w:lineRule="auto"/>
              <w:jc w:val="right"/>
              <w:rPr>
                <w:sz w:val="18"/>
                <w:szCs w:val="18"/>
              </w:rPr>
            </w:pPr>
            <w:r w:rsidRPr="007E0530">
              <w:rPr>
                <w:sz w:val="18"/>
                <w:szCs w:val="18"/>
              </w:rPr>
              <w:t xml:space="preserve"> -   </w:t>
            </w:r>
          </w:p>
        </w:tc>
        <w:tc>
          <w:tcPr>
            <w:tcW w:w="833" w:type="pct"/>
            <w:shd w:val="clear" w:color="auto" w:fill="auto"/>
            <w:noWrap/>
          </w:tcPr>
          <w:p w14:paraId="25224F34" w14:textId="7D0B351A" w:rsidR="00173B0E" w:rsidRPr="00173B0E" w:rsidRDefault="00173B0E" w:rsidP="00173B0E">
            <w:pPr>
              <w:keepLines w:val="0"/>
              <w:spacing w:after="0" w:line="240" w:lineRule="auto"/>
              <w:jc w:val="right"/>
              <w:rPr>
                <w:sz w:val="18"/>
                <w:szCs w:val="18"/>
              </w:rPr>
            </w:pPr>
            <w:r w:rsidRPr="007E0530">
              <w:rPr>
                <w:sz w:val="18"/>
                <w:szCs w:val="18"/>
              </w:rPr>
              <w:t xml:space="preserve"> -   </w:t>
            </w:r>
          </w:p>
        </w:tc>
        <w:tc>
          <w:tcPr>
            <w:tcW w:w="833" w:type="pct"/>
            <w:shd w:val="clear" w:color="auto" w:fill="auto"/>
            <w:noWrap/>
          </w:tcPr>
          <w:p w14:paraId="3045527C" w14:textId="71CFB911" w:rsidR="00173B0E" w:rsidRPr="00173B0E" w:rsidRDefault="00173B0E" w:rsidP="00173B0E">
            <w:pPr>
              <w:keepLines w:val="0"/>
              <w:spacing w:after="0" w:line="240" w:lineRule="auto"/>
              <w:jc w:val="right"/>
              <w:rPr>
                <w:b/>
                <w:bCs/>
                <w:sz w:val="18"/>
                <w:szCs w:val="18"/>
              </w:rPr>
            </w:pPr>
            <w:r w:rsidRPr="007E0530">
              <w:rPr>
                <w:b/>
                <w:bCs/>
                <w:sz w:val="18"/>
                <w:szCs w:val="18"/>
              </w:rPr>
              <w:t xml:space="preserve"> </w:t>
            </w:r>
            <w:r w:rsidR="008F6A66">
              <w:rPr>
                <w:b/>
                <w:bCs/>
                <w:sz w:val="18"/>
                <w:szCs w:val="18"/>
              </w:rPr>
              <w:t>539.4</w:t>
            </w:r>
            <w:r w:rsidRPr="007E0530">
              <w:rPr>
                <w:b/>
                <w:bCs/>
                <w:sz w:val="18"/>
                <w:szCs w:val="18"/>
              </w:rPr>
              <w:t xml:space="preserve"> </w:t>
            </w:r>
          </w:p>
        </w:tc>
      </w:tr>
      <w:tr w:rsidR="00173B0E" w:rsidRPr="00CD11DE" w14:paraId="068D835F" w14:textId="77777777" w:rsidTr="006F3279">
        <w:trPr>
          <w:trHeight w:val="294"/>
        </w:trPr>
        <w:tc>
          <w:tcPr>
            <w:tcW w:w="1668" w:type="pct"/>
            <w:shd w:val="clear" w:color="auto" w:fill="06B1D6" w:themeFill="accent1"/>
            <w:vAlign w:val="center"/>
            <w:hideMark/>
          </w:tcPr>
          <w:p w14:paraId="624F895A"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Investment securities</w:t>
            </w:r>
          </w:p>
        </w:tc>
        <w:tc>
          <w:tcPr>
            <w:tcW w:w="833" w:type="pct"/>
            <w:shd w:val="clear" w:color="auto" w:fill="auto"/>
            <w:noWrap/>
          </w:tcPr>
          <w:p w14:paraId="20551C23" w14:textId="48FBA92D" w:rsidR="00173B0E" w:rsidRPr="00173B0E" w:rsidRDefault="00173B0E" w:rsidP="00173B0E">
            <w:pPr>
              <w:keepLines w:val="0"/>
              <w:spacing w:after="0" w:line="240" w:lineRule="auto"/>
              <w:jc w:val="right"/>
              <w:rPr>
                <w:sz w:val="18"/>
                <w:szCs w:val="18"/>
              </w:rPr>
            </w:pPr>
            <w:r w:rsidRPr="007E0530">
              <w:rPr>
                <w:sz w:val="18"/>
                <w:szCs w:val="18"/>
              </w:rPr>
              <w:t xml:space="preserve"> 128.0 </w:t>
            </w:r>
          </w:p>
        </w:tc>
        <w:tc>
          <w:tcPr>
            <w:tcW w:w="833" w:type="pct"/>
            <w:shd w:val="clear" w:color="auto" w:fill="auto"/>
            <w:noWrap/>
          </w:tcPr>
          <w:p w14:paraId="7C252767" w14:textId="0ACB645A" w:rsidR="00173B0E" w:rsidRPr="00173B0E" w:rsidRDefault="00173B0E" w:rsidP="00173B0E">
            <w:pPr>
              <w:keepLines w:val="0"/>
              <w:spacing w:after="0" w:line="240" w:lineRule="auto"/>
              <w:jc w:val="right"/>
              <w:rPr>
                <w:sz w:val="18"/>
                <w:szCs w:val="18"/>
              </w:rPr>
            </w:pPr>
            <w:r w:rsidRPr="007E0530">
              <w:rPr>
                <w:sz w:val="18"/>
                <w:szCs w:val="18"/>
              </w:rPr>
              <w:t xml:space="preserve"> 1</w:t>
            </w:r>
            <w:r w:rsidR="008F6A66">
              <w:rPr>
                <w:sz w:val="18"/>
                <w:szCs w:val="18"/>
              </w:rPr>
              <w:t>3.9</w:t>
            </w:r>
            <w:r w:rsidRPr="007E0530">
              <w:rPr>
                <w:sz w:val="18"/>
                <w:szCs w:val="18"/>
              </w:rPr>
              <w:t xml:space="preserve"> </w:t>
            </w:r>
          </w:p>
        </w:tc>
        <w:tc>
          <w:tcPr>
            <w:tcW w:w="833" w:type="pct"/>
            <w:shd w:val="clear" w:color="auto" w:fill="auto"/>
            <w:noWrap/>
          </w:tcPr>
          <w:p w14:paraId="38659F91" w14:textId="37D59927" w:rsidR="00173B0E" w:rsidRPr="00173B0E" w:rsidRDefault="00173B0E" w:rsidP="00173B0E">
            <w:pPr>
              <w:keepLines w:val="0"/>
              <w:spacing w:after="0" w:line="240" w:lineRule="auto"/>
              <w:jc w:val="right"/>
              <w:rPr>
                <w:sz w:val="18"/>
                <w:szCs w:val="18"/>
              </w:rPr>
            </w:pPr>
            <w:r w:rsidRPr="007E0530">
              <w:rPr>
                <w:sz w:val="18"/>
                <w:szCs w:val="18"/>
              </w:rPr>
              <w:t xml:space="preserve"> -   </w:t>
            </w:r>
          </w:p>
        </w:tc>
        <w:tc>
          <w:tcPr>
            <w:tcW w:w="833" w:type="pct"/>
            <w:shd w:val="clear" w:color="auto" w:fill="auto"/>
            <w:noWrap/>
          </w:tcPr>
          <w:p w14:paraId="2DA74EF9" w14:textId="64E5A0CE" w:rsidR="00173B0E" w:rsidRPr="00173B0E" w:rsidRDefault="00173B0E" w:rsidP="00173B0E">
            <w:pPr>
              <w:keepLines w:val="0"/>
              <w:spacing w:after="0" w:line="240" w:lineRule="auto"/>
              <w:jc w:val="right"/>
              <w:rPr>
                <w:b/>
                <w:bCs/>
                <w:sz w:val="18"/>
                <w:szCs w:val="18"/>
              </w:rPr>
            </w:pPr>
            <w:r w:rsidRPr="007E0530">
              <w:rPr>
                <w:b/>
                <w:bCs/>
                <w:sz w:val="18"/>
                <w:szCs w:val="18"/>
              </w:rPr>
              <w:t xml:space="preserve"> 1</w:t>
            </w:r>
            <w:r w:rsidR="008F6A66">
              <w:rPr>
                <w:b/>
                <w:bCs/>
                <w:sz w:val="18"/>
                <w:szCs w:val="18"/>
              </w:rPr>
              <w:t>41.9</w:t>
            </w:r>
            <w:r w:rsidRPr="007E0530">
              <w:rPr>
                <w:b/>
                <w:bCs/>
                <w:sz w:val="18"/>
                <w:szCs w:val="18"/>
              </w:rPr>
              <w:t xml:space="preserve"> </w:t>
            </w:r>
          </w:p>
        </w:tc>
      </w:tr>
      <w:tr w:rsidR="00173B0E" w:rsidRPr="00CD11DE" w14:paraId="3C49B668" w14:textId="77777777" w:rsidTr="006F3279">
        <w:trPr>
          <w:trHeight w:val="294"/>
        </w:trPr>
        <w:tc>
          <w:tcPr>
            <w:tcW w:w="1668" w:type="pct"/>
            <w:shd w:val="clear" w:color="auto" w:fill="06B1D6" w:themeFill="accent1"/>
            <w:vAlign w:val="center"/>
            <w:hideMark/>
          </w:tcPr>
          <w:p w14:paraId="7DF58FFA"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Home purchase plans</w:t>
            </w:r>
          </w:p>
        </w:tc>
        <w:tc>
          <w:tcPr>
            <w:tcW w:w="833" w:type="pct"/>
            <w:shd w:val="clear" w:color="auto" w:fill="auto"/>
            <w:noWrap/>
          </w:tcPr>
          <w:p w14:paraId="50A15A10" w14:textId="5856E93C" w:rsidR="00173B0E" w:rsidRPr="00173B0E" w:rsidRDefault="00173B0E" w:rsidP="00173B0E">
            <w:pPr>
              <w:keepLines w:val="0"/>
              <w:spacing w:after="0" w:line="240" w:lineRule="auto"/>
              <w:jc w:val="right"/>
              <w:rPr>
                <w:sz w:val="18"/>
                <w:szCs w:val="18"/>
              </w:rPr>
            </w:pPr>
            <w:r w:rsidRPr="007E0530">
              <w:rPr>
                <w:sz w:val="18"/>
                <w:szCs w:val="18"/>
              </w:rPr>
              <w:t xml:space="preserve"> 32.1 </w:t>
            </w:r>
          </w:p>
        </w:tc>
        <w:tc>
          <w:tcPr>
            <w:tcW w:w="833" w:type="pct"/>
            <w:shd w:val="clear" w:color="auto" w:fill="auto"/>
            <w:noWrap/>
          </w:tcPr>
          <w:p w14:paraId="5908F58C" w14:textId="193E79F1" w:rsidR="00173B0E" w:rsidRPr="00173B0E" w:rsidRDefault="00173B0E" w:rsidP="00173B0E">
            <w:pPr>
              <w:keepLines w:val="0"/>
              <w:spacing w:after="0" w:line="240" w:lineRule="auto"/>
              <w:jc w:val="right"/>
              <w:rPr>
                <w:sz w:val="18"/>
                <w:szCs w:val="18"/>
              </w:rPr>
            </w:pPr>
            <w:r w:rsidRPr="007E0530">
              <w:rPr>
                <w:sz w:val="18"/>
                <w:szCs w:val="18"/>
              </w:rPr>
              <w:t xml:space="preserve"> 142.5 </w:t>
            </w:r>
          </w:p>
        </w:tc>
        <w:tc>
          <w:tcPr>
            <w:tcW w:w="833" w:type="pct"/>
            <w:shd w:val="clear" w:color="auto" w:fill="auto"/>
            <w:noWrap/>
          </w:tcPr>
          <w:p w14:paraId="47C0DE9D" w14:textId="0D62BB7D" w:rsidR="00173B0E" w:rsidRPr="00173B0E" w:rsidRDefault="00173B0E" w:rsidP="00173B0E">
            <w:pPr>
              <w:keepLines w:val="0"/>
              <w:spacing w:after="0" w:line="240" w:lineRule="auto"/>
              <w:jc w:val="right"/>
              <w:rPr>
                <w:sz w:val="18"/>
                <w:szCs w:val="18"/>
              </w:rPr>
            </w:pPr>
            <w:r w:rsidRPr="007E0530">
              <w:rPr>
                <w:sz w:val="18"/>
                <w:szCs w:val="18"/>
              </w:rPr>
              <w:t xml:space="preserve"> 75</w:t>
            </w:r>
            <w:r w:rsidR="008F6A66">
              <w:rPr>
                <w:sz w:val="18"/>
                <w:szCs w:val="18"/>
              </w:rPr>
              <w:t>8</w:t>
            </w:r>
            <w:r w:rsidRPr="007E0530">
              <w:rPr>
                <w:sz w:val="18"/>
                <w:szCs w:val="18"/>
              </w:rPr>
              <w:t>.</w:t>
            </w:r>
            <w:r w:rsidR="008F6A66">
              <w:rPr>
                <w:sz w:val="18"/>
                <w:szCs w:val="18"/>
              </w:rPr>
              <w:t>4</w:t>
            </w:r>
            <w:r w:rsidRPr="007E0530">
              <w:rPr>
                <w:sz w:val="18"/>
                <w:szCs w:val="18"/>
              </w:rPr>
              <w:t xml:space="preserve"> </w:t>
            </w:r>
          </w:p>
        </w:tc>
        <w:tc>
          <w:tcPr>
            <w:tcW w:w="833" w:type="pct"/>
            <w:shd w:val="clear" w:color="auto" w:fill="auto"/>
            <w:noWrap/>
          </w:tcPr>
          <w:p w14:paraId="4D29164F" w14:textId="0B25A347" w:rsidR="00173B0E" w:rsidRPr="00173B0E" w:rsidRDefault="00173B0E" w:rsidP="00173B0E">
            <w:pPr>
              <w:keepLines w:val="0"/>
              <w:spacing w:after="0" w:line="240" w:lineRule="auto"/>
              <w:jc w:val="right"/>
              <w:rPr>
                <w:b/>
                <w:bCs/>
                <w:sz w:val="18"/>
                <w:szCs w:val="18"/>
              </w:rPr>
            </w:pPr>
            <w:r w:rsidRPr="007E0530">
              <w:rPr>
                <w:b/>
                <w:bCs/>
                <w:sz w:val="18"/>
                <w:szCs w:val="18"/>
              </w:rPr>
              <w:t xml:space="preserve"> 933.</w:t>
            </w:r>
            <w:r w:rsidR="008F6A66">
              <w:rPr>
                <w:b/>
                <w:bCs/>
                <w:sz w:val="18"/>
                <w:szCs w:val="18"/>
              </w:rPr>
              <w:t>0</w:t>
            </w:r>
            <w:r w:rsidRPr="007E0530">
              <w:rPr>
                <w:b/>
                <w:bCs/>
                <w:sz w:val="18"/>
                <w:szCs w:val="18"/>
              </w:rPr>
              <w:t xml:space="preserve"> </w:t>
            </w:r>
          </w:p>
        </w:tc>
      </w:tr>
      <w:tr w:rsidR="00173B0E" w:rsidRPr="00CD11DE" w14:paraId="14A2A459" w14:textId="77777777" w:rsidTr="006F3279">
        <w:trPr>
          <w:trHeight w:val="294"/>
        </w:trPr>
        <w:tc>
          <w:tcPr>
            <w:tcW w:w="1668" w:type="pct"/>
            <w:shd w:val="clear" w:color="auto" w:fill="06B1D6" w:themeFill="accent1"/>
            <w:vAlign w:val="center"/>
            <w:hideMark/>
          </w:tcPr>
          <w:p w14:paraId="72E78839"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Commercial property finance</w:t>
            </w:r>
          </w:p>
        </w:tc>
        <w:tc>
          <w:tcPr>
            <w:tcW w:w="833" w:type="pct"/>
            <w:shd w:val="clear" w:color="auto" w:fill="auto"/>
            <w:noWrap/>
          </w:tcPr>
          <w:p w14:paraId="3761E7BF" w14:textId="3DF59E9B" w:rsidR="00173B0E" w:rsidRPr="00173B0E" w:rsidRDefault="00173B0E" w:rsidP="00173B0E">
            <w:pPr>
              <w:keepLines w:val="0"/>
              <w:spacing w:after="0" w:line="240" w:lineRule="auto"/>
              <w:jc w:val="right"/>
              <w:rPr>
                <w:sz w:val="18"/>
                <w:szCs w:val="18"/>
              </w:rPr>
            </w:pPr>
            <w:r w:rsidRPr="007E0530">
              <w:rPr>
                <w:sz w:val="18"/>
                <w:szCs w:val="18"/>
              </w:rPr>
              <w:t xml:space="preserve"> 82.7 </w:t>
            </w:r>
          </w:p>
        </w:tc>
        <w:tc>
          <w:tcPr>
            <w:tcW w:w="833" w:type="pct"/>
            <w:shd w:val="clear" w:color="auto" w:fill="auto"/>
            <w:noWrap/>
          </w:tcPr>
          <w:p w14:paraId="420459BC" w14:textId="2C1B5E37" w:rsidR="00173B0E" w:rsidRPr="00173B0E" w:rsidRDefault="00173B0E" w:rsidP="00173B0E">
            <w:pPr>
              <w:keepLines w:val="0"/>
              <w:spacing w:after="0" w:line="240" w:lineRule="auto"/>
              <w:jc w:val="right"/>
              <w:rPr>
                <w:sz w:val="18"/>
                <w:szCs w:val="18"/>
              </w:rPr>
            </w:pPr>
            <w:r w:rsidRPr="007E0530">
              <w:rPr>
                <w:sz w:val="18"/>
                <w:szCs w:val="18"/>
              </w:rPr>
              <w:t xml:space="preserve"> 1,0</w:t>
            </w:r>
            <w:r w:rsidR="008F6A66">
              <w:rPr>
                <w:sz w:val="18"/>
                <w:szCs w:val="18"/>
              </w:rPr>
              <w:t>89.9</w:t>
            </w:r>
            <w:r w:rsidRPr="007E0530">
              <w:rPr>
                <w:sz w:val="18"/>
                <w:szCs w:val="18"/>
              </w:rPr>
              <w:t xml:space="preserve"> </w:t>
            </w:r>
          </w:p>
        </w:tc>
        <w:tc>
          <w:tcPr>
            <w:tcW w:w="833" w:type="pct"/>
            <w:shd w:val="clear" w:color="auto" w:fill="auto"/>
            <w:noWrap/>
          </w:tcPr>
          <w:p w14:paraId="3BF368D9" w14:textId="30FA3727" w:rsidR="00173B0E" w:rsidRPr="00173B0E" w:rsidRDefault="00173B0E" w:rsidP="00173B0E">
            <w:pPr>
              <w:keepLines w:val="0"/>
              <w:spacing w:after="0" w:line="240" w:lineRule="auto"/>
              <w:jc w:val="right"/>
              <w:rPr>
                <w:sz w:val="18"/>
                <w:szCs w:val="18"/>
              </w:rPr>
            </w:pPr>
            <w:r w:rsidRPr="007E0530">
              <w:rPr>
                <w:sz w:val="18"/>
                <w:szCs w:val="18"/>
              </w:rPr>
              <w:t xml:space="preserve"> 12.4 </w:t>
            </w:r>
          </w:p>
        </w:tc>
        <w:tc>
          <w:tcPr>
            <w:tcW w:w="833" w:type="pct"/>
            <w:shd w:val="clear" w:color="auto" w:fill="auto"/>
            <w:noWrap/>
          </w:tcPr>
          <w:p w14:paraId="040A27B9" w14:textId="6D26507C" w:rsidR="00173B0E" w:rsidRPr="00173B0E" w:rsidRDefault="00173B0E" w:rsidP="00173B0E">
            <w:pPr>
              <w:keepLines w:val="0"/>
              <w:spacing w:after="0" w:line="240" w:lineRule="auto"/>
              <w:jc w:val="right"/>
              <w:rPr>
                <w:b/>
                <w:bCs/>
                <w:sz w:val="18"/>
                <w:szCs w:val="18"/>
              </w:rPr>
            </w:pPr>
            <w:r w:rsidRPr="007E0530">
              <w:rPr>
                <w:b/>
                <w:bCs/>
                <w:sz w:val="18"/>
                <w:szCs w:val="18"/>
              </w:rPr>
              <w:t xml:space="preserve"> 1,185.</w:t>
            </w:r>
            <w:r w:rsidR="008F6A66">
              <w:rPr>
                <w:b/>
                <w:bCs/>
                <w:sz w:val="18"/>
                <w:szCs w:val="18"/>
              </w:rPr>
              <w:t>0</w:t>
            </w:r>
            <w:r w:rsidRPr="007E0530">
              <w:rPr>
                <w:b/>
                <w:bCs/>
                <w:sz w:val="18"/>
                <w:szCs w:val="18"/>
              </w:rPr>
              <w:t xml:space="preserve"> </w:t>
            </w:r>
          </w:p>
        </w:tc>
      </w:tr>
      <w:tr w:rsidR="00173B0E" w:rsidRPr="00CD11DE" w14:paraId="3BD64C54" w14:textId="77777777" w:rsidTr="006F3279">
        <w:trPr>
          <w:trHeight w:val="294"/>
        </w:trPr>
        <w:tc>
          <w:tcPr>
            <w:tcW w:w="1668" w:type="pct"/>
            <w:shd w:val="clear" w:color="auto" w:fill="06B1D6" w:themeFill="accent1"/>
            <w:vAlign w:val="center"/>
          </w:tcPr>
          <w:p w14:paraId="3E87B064"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Sharia compliant derivatives</w:t>
            </w:r>
          </w:p>
        </w:tc>
        <w:tc>
          <w:tcPr>
            <w:tcW w:w="833" w:type="pct"/>
            <w:shd w:val="clear" w:color="auto" w:fill="auto"/>
            <w:noWrap/>
          </w:tcPr>
          <w:p w14:paraId="7686BFCC" w14:textId="50D56560" w:rsidR="00173B0E" w:rsidRPr="00173B0E" w:rsidRDefault="00173B0E" w:rsidP="00173B0E">
            <w:pPr>
              <w:keepLines w:val="0"/>
              <w:spacing w:after="0" w:line="240" w:lineRule="auto"/>
              <w:jc w:val="right"/>
              <w:rPr>
                <w:sz w:val="18"/>
                <w:szCs w:val="18"/>
              </w:rPr>
            </w:pPr>
            <w:r w:rsidRPr="007E0530">
              <w:rPr>
                <w:sz w:val="18"/>
                <w:szCs w:val="18"/>
              </w:rPr>
              <w:t xml:space="preserve"> </w:t>
            </w:r>
            <w:r w:rsidR="008F6A66">
              <w:rPr>
                <w:sz w:val="18"/>
                <w:szCs w:val="18"/>
              </w:rPr>
              <w:t>2.8</w:t>
            </w:r>
            <w:r w:rsidRPr="007E0530">
              <w:rPr>
                <w:sz w:val="18"/>
                <w:szCs w:val="18"/>
              </w:rPr>
              <w:t xml:space="preserve"> </w:t>
            </w:r>
          </w:p>
        </w:tc>
        <w:tc>
          <w:tcPr>
            <w:tcW w:w="833" w:type="pct"/>
            <w:shd w:val="clear" w:color="auto" w:fill="auto"/>
            <w:noWrap/>
          </w:tcPr>
          <w:p w14:paraId="2A78DC4A" w14:textId="7BAAA991" w:rsidR="00173B0E" w:rsidRPr="00173B0E" w:rsidRDefault="008F6A66" w:rsidP="00173B0E">
            <w:pPr>
              <w:keepLines w:val="0"/>
              <w:spacing w:after="0" w:line="240" w:lineRule="auto"/>
              <w:jc w:val="right"/>
              <w:rPr>
                <w:sz w:val="18"/>
                <w:szCs w:val="18"/>
              </w:rPr>
            </w:pPr>
            <w:r>
              <w:rPr>
                <w:sz w:val="18"/>
                <w:szCs w:val="18"/>
              </w:rPr>
              <w:t>3.4</w:t>
            </w:r>
            <w:r w:rsidR="00173B0E" w:rsidRPr="007E0530">
              <w:rPr>
                <w:sz w:val="18"/>
                <w:szCs w:val="18"/>
              </w:rPr>
              <w:t xml:space="preserve">   </w:t>
            </w:r>
          </w:p>
        </w:tc>
        <w:tc>
          <w:tcPr>
            <w:tcW w:w="833" w:type="pct"/>
            <w:shd w:val="clear" w:color="auto" w:fill="auto"/>
            <w:noWrap/>
          </w:tcPr>
          <w:p w14:paraId="79A7BB00" w14:textId="5D38190F" w:rsidR="00173B0E" w:rsidRPr="00173B0E" w:rsidRDefault="00173B0E" w:rsidP="00173B0E">
            <w:pPr>
              <w:keepLines w:val="0"/>
              <w:spacing w:after="0" w:line="240" w:lineRule="auto"/>
              <w:jc w:val="right"/>
              <w:rPr>
                <w:sz w:val="18"/>
                <w:szCs w:val="18"/>
              </w:rPr>
            </w:pPr>
            <w:r w:rsidRPr="007E0530">
              <w:rPr>
                <w:sz w:val="18"/>
                <w:szCs w:val="18"/>
              </w:rPr>
              <w:t xml:space="preserve"> -   </w:t>
            </w:r>
          </w:p>
        </w:tc>
        <w:tc>
          <w:tcPr>
            <w:tcW w:w="833" w:type="pct"/>
            <w:shd w:val="clear" w:color="auto" w:fill="auto"/>
            <w:noWrap/>
          </w:tcPr>
          <w:p w14:paraId="32BDF114" w14:textId="4C26382E" w:rsidR="00173B0E" w:rsidRPr="00173B0E" w:rsidRDefault="00173B0E" w:rsidP="00173B0E">
            <w:pPr>
              <w:keepLines w:val="0"/>
              <w:spacing w:after="0" w:line="240" w:lineRule="auto"/>
              <w:jc w:val="right"/>
              <w:rPr>
                <w:b/>
                <w:bCs/>
                <w:sz w:val="18"/>
                <w:szCs w:val="18"/>
              </w:rPr>
            </w:pPr>
            <w:r w:rsidRPr="007E0530">
              <w:rPr>
                <w:b/>
                <w:bCs/>
                <w:sz w:val="18"/>
                <w:szCs w:val="18"/>
              </w:rPr>
              <w:t xml:space="preserve"> 6.2 </w:t>
            </w:r>
          </w:p>
        </w:tc>
      </w:tr>
      <w:tr w:rsidR="00173B0E" w:rsidRPr="00CD11DE" w14:paraId="62E09B9E" w14:textId="77777777" w:rsidTr="006F3279">
        <w:trPr>
          <w:trHeight w:val="294"/>
        </w:trPr>
        <w:tc>
          <w:tcPr>
            <w:tcW w:w="1668" w:type="pct"/>
            <w:shd w:val="clear" w:color="auto" w:fill="06B1D6" w:themeFill="accent1"/>
            <w:vAlign w:val="center"/>
            <w:hideMark/>
          </w:tcPr>
          <w:p w14:paraId="273B17F8" w14:textId="77777777" w:rsidR="00173B0E" w:rsidRPr="00CD11DE" w:rsidRDefault="00173B0E" w:rsidP="00173B0E">
            <w:pPr>
              <w:keepLines w:val="0"/>
              <w:spacing w:after="0" w:line="240" w:lineRule="auto"/>
              <w:jc w:val="left"/>
              <w:rPr>
                <w:color w:val="FFFFFF"/>
                <w:sz w:val="18"/>
              </w:rPr>
            </w:pPr>
            <w:r w:rsidRPr="00CD11DE">
              <w:rPr>
                <w:color w:val="FFFFFF"/>
                <w:sz w:val="18"/>
              </w:rPr>
              <w:t>Total</w:t>
            </w:r>
          </w:p>
        </w:tc>
        <w:tc>
          <w:tcPr>
            <w:tcW w:w="833" w:type="pct"/>
            <w:shd w:val="clear" w:color="auto" w:fill="auto"/>
            <w:noWrap/>
          </w:tcPr>
          <w:p w14:paraId="21135CB0" w14:textId="2780208B" w:rsidR="00173B0E" w:rsidRPr="00173B0E" w:rsidRDefault="00173B0E" w:rsidP="00173B0E">
            <w:pPr>
              <w:keepLines w:val="0"/>
              <w:spacing w:after="0" w:line="240" w:lineRule="auto"/>
              <w:jc w:val="right"/>
              <w:rPr>
                <w:b/>
                <w:bCs/>
                <w:sz w:val="18"/>
                <w:szCs w:val="18"/>
              </w:rPr>
            </w:pPr>
            <w:r w:rsidRPr="007E0530">
              <w:rPr>
                <w:b/>
                <w:bCs/>
                <w:sz w:val="18"/>
                <w:szCs w:val="18"/>
              </w:rPr>
              <w:t xml:space="preserve"> 7</w:t>
            </w:r>
            <w:r w:rsidR="007E7CB0">
              <w:rPr>
                <w:b/>
                <w:bCs/>
                <w:sz w:val="18"/>
                <w:szCs w:val="18"/>
              </w:rPr>
              <w:t>85.0</w:t>
            </w:r>
            <w:r w:rsidRPr="007E0530">
              <w:rPr>
                <w:b/>
                <w:bCs/>
                <w:sz w:val="18"/>
                <w:szCs w:val="18"/>
              </w:rPr>
              <w:t xml:space="preserve"> </w:t>
            </w:r>
          </w:p>
        </w:tc>
        <w:tc>
          <w:tcPr>
            <w:tcW w:w="833" w:type="pct"/>
            <w:shd w:val="clear" w:color="auto" w:fill="auto"/>
            <w:noWrap/>
          </w:tcPr>
          <w:p w14:paraId="7ED78C5F" w14:textId="7151CBB0" w:rsidR="00173B0E" w:rsidRPr="00173B0E" w:rsidRDefault="00173B0E" w:rsidP="00173B0E">
            <w:pPr>
              <w:keepLines w:val="0"/>
              <w:spacing w:after="0" w:line="240" w:lineRule="auto"/>
              <w:jc w:val="right"/>
              <w:rPr>
                <w:b/>
                <w:bCs/>
                <w:sz w:val="18"/>
                <w:szCs w:val="18"/>
              </w:rPr>
            </w:pPr>
            <w:r w:rsidRPr="007E0530">
              <w:rPr>
                <w:b/>
                <w:bCs/>
                <w:sz w:val="18"/>
                <w:szCs w:val="18"/>
              </w:rPr>
              <w:t xml:space="preserve"> 1,24</w:t>
            </w:r>
            <w:r w:rsidR="007E7CB0">
              <w:rPr>
                <w:b/>
                <w:bCs/>
                <w:sz w:val="18"/>
                <w:szCs w:val="18"/>
              </w:rPr>
              <w:t>9.7</w:t>
            </w:r>
            <w:r w:rsidRPr="007E0530">
              <w:rPr>
                <w:b/>
                <w:bCs/>
                <w:sz w:val="18"/>
                <w:szCs w:val="18"/>
              </w:rPr>
              <w:t xml:space="preserve"> </w:t>
            </w:r>
          </w:p>
        </w:tc>
        <w:tc>
          <w:tcPr>
            <w:tcW w:w="833" w:type="pct"/>
            <w:shd w:val="clear" w:color="auto" w:fill="auto"/>
            <w:noWrap/>
          </w:tcPr>
          <w:p w14:paraId="2E3120CF" w14:textId="1F9B1224" w:rsidR="00173B0E" w:rsidRPr="00173B0E" w:rsidRDefault="00173B0E" w:rsidP="00173B0E">
            <w:pPr>
              <w:keepLines w:val="0"/>
              <w:spacing w:after="0" w:line="240" w:lineRule="auto"/>
              <w:jc w:val="right"/>
              <w:rPr>
                <w:b/>
                <w:bCs/>
                <w:sz w:val="18"/>
                <w:szCs w:val="18"/>
              </w:rPr>
            </w:pPr>
            <w:r w:rsidRPr="007E0530">
              <w:rPr>
                <w:b/>
                <w:bCs/>
                <w:sz w:val="18"/>
                <w:szCs w:val="18"/>
              </w:rPr>
              <w:t xml:space="preserve"> 77</w:t>
            </w:r>
            <w:r w:rsidR="007E7CB0">
              <w:rPr>
                <w:b/>
                <w:bCs/>
                <w:sz w:val="18"/>
                <w:szCs w:val="18"/>
              </w:rPr>
              <w:t>0.8</w:t>
            </w:r>
            <w:r w:rsidRPr="007E0530">
              <w:rPr>
                <w:b/>
                <w:bCs/>
                <w:sz w:val="18"/>
                <w:szCs w:val="18"/>
              </w:rPr>
              <w:t xml:space="preserve"> </w:t>
            </w:r>
          </w:p>
        </w:tc>
        <w:tc>
          <w:tcPr>
            <w:tcW w:w="833" w:type="pct"/>
            <w:shd w:val="clear" w:color="auto" w:fill="auto"/>
            <w:noWrap/>
          </w:tcPr>
          <w:p w14:paraId="2DC46843" w14:textId="32A35DEC" w:rsidR="00173B0E" w:rsidRPr="00173B0E" w:rsidRDefault="00173B0E" w:rsidP="00173B0E">
            <w:pPr>
              <w:keepLines w:val="0"/>
              <w:spacing w:after="0" w:line="240" w:lineRule="auto"/>
              <w:jc w:val="right"/>
              <w:rPr>
                <w:b/>
                <w:bCs/>
                <w:sz w:val="18"/>
                <w:szCs w:val="18"/>
              </w:rPr>
            </w:pPr>
            <w:r w:rsidRPr="007E0530">
              <w:rPr>
                <w:b/>
                <w:bCs/>
                <w:sz w:val="18"/>
                <w:szCs w:val="18"/>
              </w:rPr>
              <w:t xml:space="preserve"> 2,</w:t>
            </w:r>
            <w:r w:rsidR="007E7CB0">
              <w:rPr>
                <w:b/>
                <w:bCs/>
                <w:sz w:val="18"/>
                <w:szCs w:val="18"/>
              </w:rPr>
              <w:t>805.5</w:t>
            </w:r>
            <w:r w:rsidRPr="007E0530">
              <w:rPr>
                <w:b/>
                <w:bCs/>
                <w:sz w:val="18"/>
                <w:szCs w:val="18"/>
              </w:rPr>
              <w:t xml:space="preserve"> </w:t>
            </w:r>
          </w:p>
        </w:tc>
      </w:tr>
    </w:tbl>
    <w:p w14:paraId="4C03FB6B" w14:textId="77777777" w:rsidR="00215FA3" w:rsidRPr="00215FA3" w:rsidRDefault="00215FA3" w:rsidP="00215FA3"/>
    <w:bookmarkEnd w:id="282"/>
    <w:p w14:paraId="3F6F5B5B" w14:textId="620078A1" w:rsidR="00842974" w:rsidRPr="00CD11DE" w:rsidRDefault="00296BCD" w:rsidP="00F260C3">
      <w:pPr>
        <w:pStyle w:val="Caption"/>
      </w:pPr>
      <w:r>
        <w:t>T</w:t>
      </w:r>
      <w:r w:rsidR="00842974" w:rsidRPr="00CD11DE">
        <w:t xml:space="preserve">able </w:t>
      </w:r>
      <w:r w:rsidR="00842974" w:rsidRPr="00CD11DE">
        <w:fldChar w:fldCharType="begin"/>
      </w:r>
      <w:r w:rsidR="00842974" w:rsidRPr="00CD11DE">
        <w:instrText xml:space="preserve"> SEQ Table \* ARABIC </w:instrText>
      </w:r>
      <w:r w:rsidR="00842974" w:rsidRPr="00CD11DE">
        <w:fldChar w:fldCharType="separate"/>
      </w:r>
      <w:r w:rsidR="00842974" w:rsidRPr="00CD11DE">
        <w:rPr>
          <w:noProof/>
        </w:rPr>
        <w:t>17</w:t>
      </w:r>
      <w:r w:rsidR="00842974" w:rsidRPr="00CD11DE">
        <w:fldChar w:fldCharType="end"/>
      </w:r>
      <w:r w:rsidR="00842974" w:rsidRPr="00CD11DE">
        <w:t xml:space="preserve">: Residual contractual maturity of credit risk exposures: 31 December </w:t>
      </w:r>
      <w:r w:rsidR="0023087C">
        <w:t>2023</w:t>
      </w:r>
    </w:p>
    <w:tbl>
      <w:tblPr>
        <w:tblpPr w:leftFromText="180" w:rightFromText="180"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515"/>
        <w:gridCol w:w="1517"/>
        <w:gridCol w:w="1517"/>
        <w:gridCol w:w="1515"/>
      </w:tblGrid>
      <w:tr w:rsidR="00215FA3" w:rsidRPr="00CD11DE" w14:paraId="6D3CD151" w14:textId="77777777" w:rsidTr="006F3279">
        <w:trPr>
          <w:trHeight w:val="301"/>
        </w:trPr>
        <w:tc>
          <w:tcPr>
            <w:tcW w:w="1641" w:type="pct"/>
            <w:shd w:val="clear" w:color="auto" w:fill="06B1D6" w:themeFill="accent1"/>
            <w:vAlign w:val="center"/>
            <w:hideMark/>
          </w:tcPr>
          <w:p w14:paraId="71E32C11" w14:textId="77777777" w:rsidR="00215FA3" w:rsidRPr="00CD11DE" w:rsidRDefault="00215FA3" w:rsidP="00215FA3">
            <w:pPr>
              <w:keepLines w:val="0"/>
              <w:spacing w:after="0" w:line="240" w:lineRule="auto"/>
              <w:jc w:val="left"/>
              <w:rPr>
                <w:rFonts w:eastAsia="Times New Roman"/>
                <w:b/>
                <w:bCs/>
                <w:color w:val="FFFFFF"/>
                <w:sz w:val="20"/>
                <w:szCs w:val="20"/>
              </w:rPr>
            </w:pPr>
            <w:r w:rsidRPr="00CD11DE">
              <w:rPr>
                <w:rFonts w:eastAsia="Times New Roman"/>
                <w:b/>
                <w:bCs/>
                <w:color w:val="FFFFFF"/>
                <w:sz w:val="18"/>
                <w:szCs w:val="18"/>
              </w:rPr>
              <w:t>Asset Class </w:t>
            </w:r>
          </w:p>
        </w:tc>
        <w:tc>
          <w:tcPr>
            <w:tcW w:w="839" w:type="pct"/>
            <w:shd w:val="clear" w:color="auto" w:fill="06B1D6" w:themeFill="accent1"/>
            <w:vAlign w:val="center"/>
            <w:hideMark/>
          </w:tcPr>
          <w:p w14:paraId="331E70B4"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&lt; 1 year </w:t>
            </w:r>
          </w:p>
          <w:p w14:paraId="31D66BDA"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40" w:type="pct"/>
            <w:shd w:val="clear" w:color="auto" w:fill="06B1D6" w:themeFill="accent1"/>
            <w:vAlign w:val="center"/>
            <w:hideMark/>
          </w:tcPr>
          <w:p w14:paraId="09F46875"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1 – 5 years </w:t>
            </w:r>
          </w:p>
          <w:p w14:paraId="00581751"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40" w:type="pct"/>
            <w:shd w:val="clear" w:color="auto" w:fill="06B1D6" w:themeFill="accent1"/>
            <w:vAlign w:val="center"/>
            <w:hideMark/>
          </w:tcPr>
          <w:p w14:paraId="4E83247D"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More than 5 years </w:t>
            </w:r>
          </w:p>
          <w:p w14:paraId="181BB3BE"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39" w:type="pct"/>
            <w:shd w:val="clear" w:color="auto" w:fill="06B1D6" w:themeFill="accent1"/>
            <w:vAlign w:val="center"/>
            <w:hideMark/>
          </w:tcPr>
          <w:p w14:paraId="79CB4A33"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Total </w:t>
            </w:r>
          </w:p>
          <w:p w14:paraId="06EA7FFD" w14:textId="77777777" w:rsidR="00215FA3" w:rsidRPr="00CD11DE" w:rsidRDefault="00215FA3" w:rsidP="00215FA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16685E" w:rsidRPr="00CD11DE" w14:paraId="32D2E4D2" w14:textId="77777777" w:rsidTr="006F3279">
        <w:trPr>
          <w:trHeight w:val="301"/>
        </w:trPr>
        <w:tc>
          <w:tcPr>
            <w:tcW w:w="1641" w:type="pct"/>
            <w:shd w:val="clear" w:color="auto" w:fill="06B1D6" w:themeFill="accent1"/>
            <w:vAlign w:val="center"/>
            <w:hideMark/>
          </w:tcPr>
          <w:p w14:paraId="51370A69" w14:textId="77777777" w:rsidR="0016685E" w:rsidRPr="00CD11DE" w:rsidRDefault="0016685E" w:rsidP="0016685E">
            <w:pPr>
              <w:keepLines w:val="0"/>
              <w:spacing w:after="0" w:line="240" w:lineRule="auto"/>
              <w:jc w:val="left"/>
              <w:rPr>
                <w:rFonts w:eastAsia="Times New Roman"/>
                <w:b/>
                <w:bCs/>
                <w:color w:val="FFFFFF"/>
                <w:sz w:val="20"/>
                <w:szCs w:val="20"/>
              </w:rPr>
            </w:pPr>
            <w:r w:rsidRPr="00CD11DE">
              <w:rPr>
                <w:rFonts w:eastAsia="Times New Roman"/>
                <w:b/>
                <w:bCs/>
                <w:color w:val="FFFFFF"/>
                <w:sz w:val="18"/>
                <w:szCs w:val="18"/>
              </w:rPr>
              <w:t>Treasury placements and cash balances with banks</w:t>
            </w:r>
          </w:p>
        </w:tc>
        <w:tc>
          <w:tcPr>
            <w:tcW w:w="839" w:type="pct"/>
            <w:shd w:val="clear" w:color="auto" w:fill="auto"/>
            <w:noWrap/>
            <w:vAlign w:val="center"/>
            <w:hideMark/>
          </w:tcPr>
          <w:p w14:paraId="47972CE5" w14:textId="472099F8" w:rsidR="0016685E" w:rsidRPr="00CD11DE" w:rsidRDefault="0016685E" w:rsidP="0016685E">
            <w:pPr>
              <w:keepLines w:val="0"/>
              <w:spacing w:after="0" w:line="240" w:lineRule="auto"/>
              <w:jc w:val="right"/>
              <w:rPr>
                <w:rFonts w:eastAsia="Times New Roman"/>
                <w:sz w:val="18"/>
                <w:szCs w:val="18"/>
              </w:rPr>
            </w:pPr>
            <w:r w:rsidRPr="00CD11DE">
              <w:rPr>
                <w:sz w:val="18"/>
                <w:szCs w:val="18"/>
              </w:rPr>
              <w:t>401.6</w:t>
            </w:r>
          </w:p>
        </w:tc>
        <w:tc>
          <w:tcPr>
            <w:tcW w:w="840" w:type="pct"/>
            <w:shd w:val="clear" w:color="auto" w:fill="auto"/>
            <w:noWrap/>
            <w:vAlign w:val="center"/>
            <w:hideMark/>
          </w:tcPr>
          <w:p w14:paraId="0DA2235D" w14:textId="48BFA4FF"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840" w:type="pct"/>
            <w:shd w:val="clear" w:color="auto" w:fill="auto"/>
            <w:noWrap/>
            <w:vAlign w:val="center"/>
            <w:hideMark/>
          </w:tcPr>
          <w:p w14:paraId="203355EB" w14:textId="7B29A5AC"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839" w:type="pct"/>
            <w:shd w:val="clear" w:color="auto" w:fill="auto"/>
            <w:noWrap/>
            <w:vAlign w:val="center"/>
            <w:hideMark/>
          </w:tcPr>
          <w:p w14:paraId="6C73D583" w14:textId="07C5ABED"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401.6</w:t>
            </w:r>
          </w:p>
        </w:tc>
      </w:tr>
      <w:tr w:rsidR="0016685E" w:rsidRPr="00CD11DE" w14:paraId="44244345" w14:textId="77777777" w:rsidTr="006F3279">
        <w:trPr>
          <w:trHeight w:val="301"/>
        </w:trPr>
        <w:tc>
          <w:tcPr>
            <w:tcW w:w="1641" w:type="pct"/>
            <w:shd w:val="clear" w:color="auto" w:fill="06B1D6" w:themeFill="accent1"/>
            <w:vAlign w:val="center"/>
            <w:hideMark/>
          </w:tcPr>
          <w:p w14:paraId="5FA12B39" w14:textId="77777777" w:rsidR="0016685E" w:rsidRPr="00CD11DE" w:rsidRDefault="0016685E" w:rsidP="0016685E">
            <w:pPr>
              <w:keepLines w:val="0"/>
              <w:spacing w:after="0" w:line="240" w:lineRule="auto"/>
              <w:jc w:val="left"/>
              <w:rPr>
                <w:rFonts w:eastAsia="Times New Roman"/>
                <w:b/>
                <w:bCs/>
                <w:color w:val="FFFFFF"/>
                <w:sz w:val="20"/>
                <w:szCs w:val="20"/>
              </w:rPr>
            </w:pPr>
            <w:r w:rsidRPr="00CD11DE">
              <w:rPr>
                <w:rFonts w:eastAsia="Times New Roman"/>
                <w:b/>
                <w:bCs/>
                <w:color w:val="FFFFFF"/>
                <w:sz w:val="18"/>
                <w:szCs w:val="18"/>
              </w:rPr>
              <w:t>Investment securities</w:t>
            </w:r>
          </w:p>
        </w:tc>
        <w:tc>
          <w:tcPr>
            <w:tcW w:w="839" w:type="pct"/>
            <w:shd w:val="clear" w:color="auto" w:fill="auto"/>
            <w:noWrap/>
            <w:vAlign w:val="center"/>
            <w:hideMark/>
          </w:tcPr>
          <w:p w14:paraId="450408DE" w14:textId="45616110" w:rsidR="0016685E" w:rsidRPr="00CD11DE" w:rsidRDefault="0016685E" w:rsidP="0016685E">
            <w:pPr>
              <w:keepLines w:val="0"/>
              <w:spacing w:after="0" w:line="240" w:lineRule="auto"/>
              <w:jc w:val="right"/>
              <w:rPr>
                <w:rFonts w:eastAsia="Times New Roman"/>
                <w:sz w:val="18"/>
                <w:szCs w:val="18"/>
              </w:rPr>
            </w:pPr>
            <w:r w:rsidRPr="00CD11DE">
              <w:rPr>
                <w:sz w:val="18"/>
                <w:szCs w:val="18"/>
              </w:rPr>
              <w:t>131.8</w:t>
            </w:r>
          </w:p>
        </w:tc>
        <w:tc>
          <w:tcPr>
            <w:tcW w:w="840" w:type="pct"/>
            <w:shd w:val="clear" w:color="auto" w:fill="auto"/>
            <w:noWrap/>
            <w:vAlign w:val="center"/>
            <w:hideMark/>
          </w:tcPr>
          <w:p w14:paraId="46D4FA59" w14:textId="43D584F8" w:rsidR="0016685E" w:rsidRPr="00CD11DE" w:rsidRDefault="0016685E" w:rsidP="0016685E">
            <w:pPr>
              <w:keepLines w:val="0"/>
              <w:spacing w:after="0" w:line="240" w:lineRule="auto"/>
              <w:jc w:val="right"/>
              <w:rPr>
                <w:rFonts w:eastAsia="Times New Roman"/>
                <w:sz w:val="18"/>
                <w:szCs w:val="18"/>
              </w:rPr>
            </w:pPr>
            <w:r w:rsidRPr="00CD11DE">
              <w:rPr>
                <w:sz w:val="18"/>
                <w:szCs w:val="18"/>
              </w:rPr>
              <w:t>16.9</w:t>
            </w:r>
          </w:p>
        </w:tc>
        <w:tc>
          <w:tcPr>
            <w:tcW w:w="840" w:type="pct"/>
            <w:shd w:val="clear" w:color="auto" w:fill="auto"/>
            <w:noWrap/>
            <w:vAlign w:val="center"/>
            <w:hideMark/>
          </w:tcPr>
          <w:p w14:paraId="73951008" w14:textId="715AF5FB"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839" w:type="pct"/>
            <w:shd w:val="clear" w:color="auto" w:fill="auto"/>
            <w:noWrap/>
            <w:vAlign w:val="center"/>
            <w:hideMark/>
          </w:tcPr>
          <w:p w14:paraId="3894EBBB" w14:textId="499BA0DC"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148.7</w:t>
            </w:r>
          </w:p>
        </w:tc>
      </w:tr>
      <w:tr w:rsidR="0016685E" w:rsidRPr="00CD11DE" w14:paraId="041912DA" w14:textId="77777777" w:rsidTr="006F3279">
        <w:trPr>
          <w:trHeight w:val="301"/>
        </w:trPr>
        <w:tc>
          <w:tcPr>
            <w:tcW w:w="1641" w:type="pct"/>
            <w:shd w:val="clear" w:color="auto" w:fill="06B1D6" w:themeFill="accent1"/>
            <w:vAlign w:val="center"/>
            <w:hideMark/>
          </w:tcPr>
          <w:p w14:paraId="3E357BD8" w14:textId="77777777" w:rsidR="0016685E" w:rsidRPr="00CD11DE" w:rsidRDefault="0016685E" w:rsidP="0016685E">
            <w:pPr>
              <w:keepLines w:val="0"/>
              <w:spacing w:after="0" w:line="240" w:lineRule="auto"/>
              <w:jc w:val="left"/>
              <w:rPr>
                <w:rFonts w:eastAsia="Times New Roman"/>
                <w:b/>
                <w:bCs/>
                <w:color w:val="FFFFFF"/>
                <w:sz w:val="20"/>
                <w:szCs w:val="20"/>
              </w:rPr>
            </w:pPr>
            <w:r w:rsidRPr="00CD11DE">
              <w:rPr>
                <w:rFonts w:eastAsia="Times New Roman"/>
                <w:b/>
                <w:bCs/>
                <w:color w:val="FFFFFF"/>
                <w:sz w:val="18"/>
                <w:szCs w:val="18"/>
              </w:rPr>
              <w:t>Home purchase plans</w:t>
            </w:r>
          </w:p>
        </w:tc>
        <w:tc>
          <w:tcPr>
            <w:tcW w:w="839" w:type="pct"/>
            <w:shd w:val="clear" w:color="auto" w:fill="auto"/>
            <w:noWrap/>
            <w:vAlign w:val="center"/>
            <w:hideMark/>
          </w:tcPr>
          <w:p w14:paraId="24DCD5C7" w14:textId="7276E95E" w:rsidR="0016685E" w:rsidRPr="00CD11DE" w:rsidRDefault="0016685E" w:rsidP="0016685E">
            <w:pPr>
              <w:keepLines w:val="0"/>
              <w:spacing w:after="0" w:line="240" w:lineRule="auto"/>
              <w:jc w:val="right"/>
              <w:rPr>
                <w:rFonts w:eastAsia="Times New Roman"/>
                <w:sz w:val="18"/>
                <w:szCs w:val="18"/>
              </w:rPr>
            </w:pPr>
            <w:r w:rsidRPr="00CD11DE">
              <w:rPr>
                <w:sz w:val="18"/>
                <w:szCs w:val="18"/>
              </w:rPr>
              <w:t>31.0</w:t>
            </w:r>
          </w:p>
        </w:tc>
        <w:tc>
          <w:tcPr>
            <w:tcW w:w="840" w:type="pct"/>
            <w:shd w:val="clear" w:color="auto" w:fill="auto"/>
            <w:noWrap/>
            <w:vAlign w:val="center"/>
            <w:hideMark/>
          </w:tcPr>
          <w:p w14:paraId="4701F1A2" w14:textId="56E3A5FF" w:rsidR="0016685E" w:rsidRPr="00CD11DE" w:rsidRDefault="0016685E" w:rsidP="0016685E">
            <w:pPr>
              <w:keepLines w:val="0"/>
              <w:spacing w:after="0" w:line="240" w:lineRule="auto"/>
              <w:jc w:val="right"/>
              <w:rPr>
                <w:rFonts w:eastAsia="Times New Roman"/>
                <w:sz w:val="18"/>
                <w:szCs w:val="18"/>
              </w:rPr>
            </w:pPr>
            <w:r w:rsidRPr="00CD11DE">
              <w:rPr>
                <w:sz w:val="18"/>
                <w:szCs w:val="18"/>
              </w:rPr>
              <w:t>144.8</w:t>
            </w:r>
          </w:p>
        </w:tc>
        <w:tc>
          <w:tcPr>
            <w:tcW w:w="840" w:type="pct"/>
            <w:shd w:val="clear" w:color="auto" w:fill="auto"/>
            <w:noWrap/>
            <w:vAlign w:val="center"/>
            <w:hideMark/>
          </w:tcPr>
          <w:p w14:paraId="309FB27D" w14:textId="7664025F" w:rsidR="0016685E" w:rsidRPr="00CD11DE" w:rsidRDefault="0016685E" w:rsidP="0016685E">
            <w:pPr>
              <w:keepLines w:val="0"/>
              <w:spacing w:after="0" w:line="240" w:lineRule="auto"/>
              <w:jc w:val="right"/>
              <w:rPr>
                <w:rFonts w:eastAsia="Times New Roman"/>
                <w:sz w:val="18"/>
                <w:szCs w:val="18"/>
              </w:rPr>
            </w:pPr>
            <w:r w:rsidRPr="00CD11DE">
              <w:rPr>
                <w:sz w:val="18"/>
                <w:szCs w:val="18"/>
              </w:rPr>
              <w:t>817.3</w:t>
            </w:r>
          </w:p>
        </w:tc>
        <w:tc>
          <w:tcPr>
            <w:tcW w:w="839" w:type="pct"/>
            <w:shd w:val="clear" w:color="auto" w:fill="auto"/>
            <w:noWrap/>
            <w:vAlign w:val="center"/>
            <w:hideMark/>
          </w:tcPr>
          <w:p w14:paraId="798F28B1" w14:textId="75BBF570"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993.1</w:t>
            </w:r>
          </w:p>
        </w:tc>
      </w:tr>
      <w:tr w:rsidR="0016685E" w:rsidRPr="00CD11DE" w14:paraId="6E2D0EB5" w14:textId="77777777" w:rsidTr="006F3279">
        <w:trPr>
          <w:trHeight w:val="301"/>
        </w:trPr>
        <w:tc>
          <w:tcPr>
            <w:tcW w:w="1641" w:type="pct"/>
            <w:shd w:val="clear" w:color="auto" w:fill="06B1D6" w:themeFill="accent1"/>
            <w:vAlign w:val="center"/>
          </w:tcPr>
          <w:p w14:paraId="50F4F51C" w14:textId="77777777" w:rsidR="0016685E" w:rsidRPr="00CD11DE" w:rsidRDefault="0016685E" w:rsidP="0016685E">
            <w:pPr>
              <w:keepLines w:val="0"/>
              <w:spacing w:after="0" w:line="240" w:lineRule="auto"/>
              <w:jc w:val="left"/>
              <w:rPr>
                <w:rFonts w:eastAsia="Times New Roman"/>
                <w:bCs/>
                <w:color w:val="FFFFFF"/>
                <w:sz w:val="20"/>
                <w:szCs w:val="20"/>
              </w:rPr>
            </w:pPr>
            <w:r w:rsidRPr="00CD11DE">
              <w:rPr>
                <w:rFonts w:eastAsia="Times New Roman"/>
                <w:b/>
                <w:bCs/>
                <w:color w:val="FFFFFF"/>
                <w:sz w:val="18"/>
                <w:szCs w:val="18"/>
              </w:rPr>
              <w:t>Commercial property finance</w:t>
            </w:r>
          </w:p>
        </w:tc>
        <w:tc>
          <w:tcPr>
            <w:tcW w:w="839" w:type="pct"/>
            <w:shd w:val="clear" w:color="auto" w:fill="auto"/>
            <w:noWrap/>
            <w:vAlign w:val="center"/>
          </w:tcPr>
          <w:p w14:paraId="606C0AB0" w14:textId="46C3BE80" w:rsidR="0016685E" w:rsidRPr="00CD11DE" w:rsidRDefault="0016685E" w:rsidP="0016685E">
            <w:pPr>
              <w:keepLines w:val="0"/>
              <w:spacing w:after="0" w:line="240" w:lineRule="auto"/>
              <w:jc w:val="right"/>
              <w:rPr>
                <w:rFonts w:eastAsia="Times New Roman"/>
                <w:sz w:val="18"/>
                <w:szCs w:val="18"/>
              </w:rPr>
            </w:pPr>
            <w:r w:rsidRPr="00CD11DE">
              <w:rPr>
                <w:sz w:val="18"/>
                <w:szCs w:val="18"/>
              </w:rPr>
              <w:t>142.9</w:t>
            </w:r>
          </w:p>
        </w:tc>
        <w:tc>
          <w:tcPr>
            <w:tcW w:w="840" w:type="pct"/>
            <w:shd w:val="clear" w:color="auto" w:fill="auto"/>
            <w:noWrap/>
            <w:vAlign w:val="center"/>
          </w:tcPr>
          <w:p w14:paraId="2BE2E1C6" w14:textId="5E70153B" w:rsidR="0016685E" w:rsidRPr="00CD11DE" w:rsidRDefault="0016685E" w:rsidP="0016685E">
            <w:pPr>
              <w:keepLines w:val="0"/>
              <w:spacing w:after="0" w:line="240" w:lineRule="auto"/>
              <w:jc w:val="right"/>
              <w:rPr>
                <w:rFonts w:eastAsia="Times New Roman"/>
                <w:sz w:val="18"/>
                <w:szCs w:val="18"/>
              </w:rPr>
            </w:pPr>
            <w:r w:rsidRPr="00CD11DE">
              <w:rPr>
                <w:sz w:val="18"/>
                <w:szCs w:val="18"/>
              </w:rPr>
              <w:t>708.</w:t>
            </w:r>
            <w:r>
              <w:rPr>
                <w:sz w:val="18"/>
                <w:szCs w:val="18"/>
              </w:rPr>
              <w:t>4</w:t>
            </w:r>
          </w:p>
        </w:tc>
        <w:tc>
          <w:tcPr>
            <w:tcW w:w="840" w:type="pct"/>
            <w:shd w:val="clear" w:color="auto" w:fill="auto"/>
            <w:noWrap/>
            <w:vAlign w:val="center"/>
          </w:tcPr>
          <w:p w14:paraId="39FC289F" w14:textId="0CEB6562" w:rsidR="0016685E" w:rsidRPr="00CD11DE" w:rsidRDefault="0016685E" w:rsidP="0016685E">
            <w:pPr>
              <w:keepLines w:val="0"/>
              <w:spacing w:after="0" w:line="240" w:lineRule="auto"/>
              <w:jc w:val="right"/>
              <w:rPr>
                <w:rFonts w:eastAsia="Times New Roman"/>
                <w:sz w:val="18"/>
                <w:szCs w:val="18"/>
              </w:rPr>
            </w:pPr>
            <w:r w:rsidRPr="00CD11DE">
              <w:rPr>
                <w:sz w:val="18"/>
                <w:szCs w:val="18"/>
              </w:rPr>
              <w:t>48.7</w:t>
            </w:r>
          </w:p>
        </w:tc>
        <w:tc>
          <w:tcPr>
            <w:tcW w:w="839" w:type="pct"/>
            <w:shd w:val="clear" w:color="auto" w:fill="auto"/>
            <w:noWrap/>
            <w:vAlign w:val="center"/>
          </w:tcPr>
          <w:p w14:paraId="19AF1E60" w14:textId="3D9D1820" w:rsidR="0016685E" w:rsidRPr="00CD11DE" w:rsidRDefault="0016685E" w:rsidP="0016685E">
            <w:pPr>
              <w:keepLines w:val="0"/>
              <w:spacing w:after="0" w:line="240" w:lineRule="auto"/>
              <w:jc w:val="right"/>
              <w:rPr>
                <w:b/>
                <w:bCs/>
                <w:sz w:val="18"/>
                <w:szCs w:val="18"/>
              </w:rPr>
            </w:pPr>
            <w:r w:rsidRPr="00CD11DE">
              <w:rPr>
                <w:b/>
                <w:bCs/>
                <w:sz w:val="18"/>
                <w:szCs w:val="18"/>
              </w:rPr>
              <w:t>900.0</w:t>
            </w:r>
          </w:p>
        </w:tc>
      </w:tr>
      <w:tr w:rsidR="0016685E" w:rsidRPr="00CD11DE" w14:paraId="1F7F95C0" w14:textId="77777777" w:rsidTr="006F3279">
        <w:trPr>
          <w:trHeight w:val="301"/>
        </w:trPr>
        <w:tc>
          <w:tcPr>
            <w:tcW w:w="1641" w:type="pct"/>
            <w:shd w:val="clear" w:color="auto" w:fill="06B1D6" w:themeFill="accent1"/>
            <w:vAlign w:val="center"/>
            <w:hideMark/>
          </w:tcPr>
          <w:p w14:paraId="519A1AAE" w14:textId="77777777" w:rsidR="0016685E" w:rsidRPr="00CD11DE" w:rsidRDefault="0016685E" w:rsidP="0016685E">
            <w:pPr>
              <w:keepLines w:val="0"/>
              <w:spacing w:after="0" w:line="240" w:lineRule="auto"/>
              <w:jc w:val="left"/>
              <w:rPr>
                <w:rFonts w:eastAsia="Times New Roman"/>
                <w:b/>
                <w:bCs/>
                <w:color w:val="FFFFFF"/>
                <w:sz w:val="20"/>
                <w:szCs w:val="20"/>
              </w:rPr>
            </w:pPr>
            <w:r w:rsidRPr="00CD11DE">
              <w:rPr>
                <w:rFonts w:eastAsia="Times New Roman"/>
                <w:b/>
                <w:bCs/>
                <w:color w:val="FFFFFF"/>
                <w:sz w:val="18"/>
                <w:szCs w:val="18"/>
              </w:rPr>
              <w:t>Sharia compliant derivatives</w:t>
            </w:r>
          </w:p>
        </w:tc>
        <w:tc>
          <w:tcPr>
            <w:tcW w:w="839" w:type="pct"/>
            <w:shd w:val="clear" w:color="auto" w:fill="auto"/>
            <w:noWrap/>
            <w:vAlign w:val="center"/>
            <w:hideMark/>
          </w:tcPr>
          <w:p w14:paraId="1FFE78D4" w14:textId="4EB34DF4" w:rsidR="0016685E" w:rsidRPr="00CD11DE" w:rsidRDefault="0016685E" w:rsidP="0016685E">
            <w:pPr>
              <w:keepLines w:val="0"/>
              <w:spacing w:after="0" w:line="240" w:lineRule="auto"/>
              <w:jc w:val="right"/>
              <w:rPr>
                <w:rFonts w:eastAsia="Times New Roman"/>
                <w:sz w:val="18"/>
                <w:szCs w:val="18"/>
              </w:rPr>
            </w:pPr>
            <w:r w:rsidRPr="00CD11DE">
              <w:rPr>
                <w:sz w:val="18"/>
                <w:szCs w:val="18"/>
              </w:rPr>
              <w:t>11.2</w:t>
            </w:r>
          </w:p>
        </w:tc>
        <w:tc>
          <w:tcPr>
            <w:tcW w:w="840" w:type="pct"/>
            <w:shd w:val="clear" w:color="auto" w:fill="auto"/>
            <w:noWrap/>
            <w:vAlign w:val="center"/>
            <w:hideMark/>
          </w:tcPr>
          <w:p w14:paraId="006E1AE9" w14:textId="4FC26AAC"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840" w:type="pct"/>
            <w:shd w:val="clear" w:color="auto" w:fill="auto"/>
            <w:noWrap/>
            <w:vAlign w:val="center"/>
            <w:hideMark/>
          </w:tcPr>
          <w:p w14:paraId="1B0B1179" w14:textId="70832AF0" w:rsidR="0016685E" w:rsidRPr="00CD11DE" w:rsidRDefault="0016685E" w:rsidP="0016685E">
            <w:pPr>
              <w:keepLines w:val="0"/>
              <w:spacing w:after="0" w:line="240" w:lineRule="auto"/>
              <w:jc w:val="right"/>
              <w:rPr>
                <w:rFonts w:eastAsia="Times New Roman"/>
                <w:sz w:val="18"/>
                <w:szCs w:val="18"/>
              </w:rPr>
            </w:pPr>
            <w:r w:rsidRPr="00CD11DE">
              <w:rPr>
                <w:sz w:val="18"/>
                <w:szCs w:val="18"/>
              </w:rPr>
              <w:t>-</w:t>
            </w:r>
          </w:p>
        </w:tc>
        <w:tc>
          <w:tcPr>
            <w:tcW w:w="839" w:type="pct"/>
            <w:shd w:val="clear" w:color="auto" w:fill="auto"/>
            <w:noWrap/>
            <w:vAlign w:val="center"/>
            <w:hideMark/>
          </w:tcPr>
          <w:p w14:paraId="12AA049C" w14:textId="73132CF3"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11.2</w:t>
            </w:r>
          </w:p>
        </w:tc>
      </w:tr>
      <w:tr w:rsidR="0016685E" w:rsidRPr="00CD11DE" w14:paraId="69CCE84B" w14:textId="77777777" w:rsidTr="006F3279">
        <w:trPr>
          <w:trHeight w:val="301"/>
        </w:trPr>
        <w:tc>
          <w:tcPr>
            <w:tcW w:w="1641" w:type="pct"/>
            <w:shd w:val="clear" w:color="auto" w:fill="06B1D6" w:themeFill="accent1"/>
            <w:vAlign w:val="center"/>
            <w:hideMark/>
          </w:tcPr>
          <w:p w14:paraId="7CA0A400" w14:textId="77777777" w:rsidR="0016685E" w:rsidRPr="00CD11DE" w:rsidRDefault="0016685E" w:rsidP="0016685E">
            <w:pPr>
              <w:keepLines w:val="0"/>
              <w:spacing w:after="0" w:line="240" w:lineRule="auto"/>
              <w:jc w:val="left"/>
              <w:rPr>
                <w:rFonts w:eastAsia="Times New Roman"/>
                <w:b/>
                <w:bCs/>
                <w:color w:val="FFFFFF"/>
                <w:sz w:val="20"/>
                <w:szCs w:val="20"/>
              </w:rPr>
            </w:pPr>
            <w:r w:rsidRPr="00CD11DE">
              <w:rPr>
                <w:rFonts w:eastAsia="Times New Roman"/>
                <w:b/>
                <w:bCs/>
                <w:color w:val="FFFFFF"/>
                <w:sz w:val="18"/>
                <w:szCs w:val="18"/>
              </w:rPr>
              <w:t>Total</w:t>
            </w:r>
          </w:p>
        </w:tc>
        <w:tc>
          <w:tcPr>
            <w:tcW w:w="839" w:type="pct"/>
            <w:shd w:val="clear" w:color="auto" w:fill="auto"/>
            <w:noWrap/>
            <w:vAlign w:val="center"/>
            <w:hideMark/>
          </w:tcPr>
          <w:p w14:paraId="39C093DE" w14:textId="41B0588B"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718.5</w:t>
            </w:r>
          </w:p>
        </w:tc>
        <w:tc>
          <w:tcPr>
            <w:tcW w:w="840" w:type="pct"/>
            <w:shd w:val="clear" w:color="auto" w:fill="auto"/>
            <w:noWrap/>
            <w:vAlign w:val="center"/>
            <w:hideMark/>
          </w:tcPr>
          <w:p w14:paraId="2BF57142" w14:textId="2541A67D"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870.1</w:t>
            </w:r>
          </w:p>
        </w:tc>
        <w:tc>
          <w:tcPr>
            <w:tcW w:w="840" w:type="pct"/>
            <w:shd w:val="clear" w:color="auto" w:fill="auto"/>
            <w:noWrap/>
            <w:vAlign w:val="center"/>
            <w:hideMark/>
          </w:tcPr>
          <w:p w14:paraId="0206C101" w14:textId="629CC2A7"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866.0</w:t>
            </w:r>
          </w:p>
        </w:tc>
        <w:tc>
          <w:tcPr>
            <w:tcW w:w="839" w:type="pct"/>
            <w:shd w:val="clear" w:color="auto" w:fill="auto"/>
            <w:noWrap/>
            <w:vAlign w:val="center"/>
            <w:hideMark/>
          </w:tcPr>
          <w:p w14:paraId="5826F68A" w14:textId="32E4782E" w:rsidR="0016685E" w:rsidRPr="00CD11DE" w:rsidRDefault="0016685E" w:rsidP="0016685E">
            <w:pPr>
              <w:keepLines w:val="0"/>
              <w:spacing w:after="0" w:line="240" w:lineRule="auto"/>
              <w:jc w:val="right"/>
              <w:rPr>
                <w:rFonts w:eastAsia="Times New Roman"/>
                <w:b/>
                <w:bCs/>
                <w:sz w:val="18"/>
                <w:szCs w:val="18"/>
              </w:rPr>
            </w:pPr>
            <w:r w:rsidRPr="00CD11DE">
              <w:rPr>
                <w:b/>
                <w:bCs/>
                <w:sz w:val="18"/>
                <w:szCs w:val="18"/>
              </w:rPr>
              <w:t>2,454.6</w:t>
            </w:r>
          </w:p>
        </w:tc>
      </w:tr>
    </w:tbl>
    <w:p w14:paraId="0FB27D84" w14:textId="77777777" w:rsidR="00296BCD" w:rsidRPr="00CD11DE" w:rsidRDefault="00296BCD"/>
    <w:p w14:paraId="1FA43CD8" w14:textId="77777777" w:rsidR="00E100C1" w:rsidRDefault="00E100C1" w:rsidP="00D02827">
      <w:pPr>
        <w:pStyle w:val="Heading3"/>
        <w:rPr>
          <w:lang w:val="en-GB"/>
        </w:rPr>
      </w:pPr>
      <w:bookmarkStart w:id="283" w:name="_Toc136965058"/>
      <w:bookmarkStart w:id="284" w:name="_Toc136965059"/>
      <w:bookmarkStart w:id="285" w:name="_Toc136965060"/>
      <w:bookmarkStart w:id="286" w:name="_Toc136965061"/>
      <w:bookmarkStart w:id="287" w:name="_Toc136965062"/>
      <w:bookmarkStart w:id="288" w:name="_Toc136965101"/>
      <w:bookmarkStart w:id="289" w:name="_Toc136965102"/>
      <w:bookmarkStart w:id="290" w:name="_Toc136965103"/>
      <w:bookmarkStart w:id="291" w:name="_Toc136965104"/>
      <w:bookmarkStart w:id="292" w:name="_Toc136965105"/>
      <w:bookmarkStart w:id="293" w:name="_Toc136965106"/>
      <w:bookmarkStart w:id="294" w:name="_Toc136965107"/>
      <w:bookmarkStart w:id="295" w:name="_Toc136965108"/>
      <w:bookmarkStart w:id="296" w:name="_Toc136965109"/>
      <w:bookmarkStart w:id="297" w:name="_Toc136965110"/>
      <w:bookmarkStart w:id="298" w:name="_Toc136965111"/>
      <w:bookmarkStart w:id="299" w:name="_Toc136965112"/>
      <w:bookmarkStart w:id="300" w:name="_Toc136965113"/>
      <w:bookmarkStart w:id="301" w:name="_Toc136965114"/>
      <w:bookmarkStart w:id="302" w:name="_Toc136965115"/>
      <w:bookmarkStart w:id="303" w:name="_Toc136965116"/>
      <w:bookmarkStart w:id="304" w:name="_Toc136965117"/>
      <w:bookmarkStart w:id="305" w:name="_Toc136965118"/>
      <w:bookmarkStart w:id="306" w:name="_Toc136965119"/>
      <w:bookmarkStart w:id="307" w:name="_Toc136965120"/>
      <w:bookmarkStart w:id="308" w:name="_Toc136965121"/>
      <w:bookmarkStart w:id="309" w:name="_Toc136965122"/>
      <w:bookmarkStart w:id="310" w:name="_Toc136965123"/>
      <w:bookmarkStart w:id="311" w:name="_Toc136965124"/>
      <w:bookmarkStart w:id="312" w:name="_Toc136965125"/>
      <w:bookmarkStart w:id="313" w:name="_Toc136965126"/>
      <w:bookmarkStart w:id="314" w:name="_Toc136965127"/>
      <w:bookmarkStart w:id="315" w:name="_Toc136965128"/>
      <w:bookmarkStart w:id="316" w:name="_Toc136965129"/>
      <w:bookmarkStart w:id="317" w:name="_Toc136965130"/>
      <w:bookmarkStart w:id="318" w:name="_Toc136965131"/>
      <w:bookmarkStart w:id="319" w:name="_Toc136965132"/>
      <w:bookmarkStart w:id="320" w:name="_Toc136965133"/>
      <w:bookmarkStart w:id="321" w:name="_Toc136965174"/>
      <w:bookmarkStart w:id="322" w:name="_Toc136965175"/>
      <w:bookmarkStart w:id="323" w:name="_Toc136965216"/>
      <w:bookmarkStart w:id="324" w:name="_Toc136965217"/>
      <w:bookmarkStart w:id="325" w:name="_Toc136965218"/>
      <w:bookmarkStart w:id="326" w:name="_Toc136965219"/>
      <w:bookmarkStart w:id="327" w:name="_Toc136965220"/>
      <w:bookmarkStart w:id="328" w:name="_Toc136965221"/>
      <w:bookmarkStart w:id="329" w:name="_Toc136965222"/>
      <w:bookmarkStart w:id="330" w:name="_Toc136965223"/>
      <w:bookmarkStart w:id="331" w:name="_Toc136965224"/>
      <w:bookmarkStart w:id="332" w:name="_Toc136965225"/>
      <w:bookmarkStart w:id="333" w:name="_Toc136965226"/>
      <w:bookmarkStart w:id="334" w:name="_Toc136965227"/>
      <w:bookmarkStart w:id="335" w:name="_Toc136965228"/>
      <w:bookmarkStart w:id="336" w:name="_Toc136965229"/>
      <w:bookmarkStart w:id="337" w:name="_Toc136965230"/>
      <w:bookmarkStart w:id="338" w:name="_Toc136965231"/>
      <w:bookmarkStart w:id="339" w:name="_Toc136965232"/>
      <w:bookmarkStart w:id="340" w:name="_Toc136965233"/>
      <w:bookmarkStart w:id="341" w:name="_Toc136965234"/>
      <w:bookmarkStart w:id="342" w:name="_Toc136965235"/>
      <w:bookmarkStart w:id="343" w:name="_Toc136965236"/>
      <w:bookmarkStart w:id="344" w:name="_Toc136965237"/>
      <w:bookmarkStart w:id="345" w:name="_Toc136965238"/>
      <w:bookmarkStart w:id="346" w:name="_Toc136965239"/>
      <w:bookmarkStart w:id="347" w:name="_Toc136965240"/>
      <w:bookmarkStart w:id="348" w:name="_Toc136965241"/>
      <w:bookmarkStart w:id="349" w:name="_Toc136965304"/>
      <w:bookmarkStart w:id="350" w:name="_Toc136965305"/>
      <w:bookmarkStart w:id="351" w:name="_Toc136965368"/>
      <w:bookmarkStart w:id="352" w:name="_Toc136965409"/>
      <w:bookmarkStart w:id="353" w:name="_Toc136965410"/>
      <w:bookmarkStart w:id="354" w:name="_Toc136965411"/>
      <w:bookmarkStart w:id="355" w:name="_Toc136965412"/>
      <w:bookmarkStart w:id="356" w:name="_Toc136965415"/>
      <w:bookmarkStart w:id="357" w:name="_Toc136965459"/>
      <w:bookmarkStart w:id="358" w:name="_Toc136965460"/>
      <w:bookmarkStart w:id="359" w:name="_Toc136965461"/>
      <w:bookmarkStart w:id="360" w:name="_Toc136965462"/>
      <w:bookmarkStart w:id="361" w:name="_Toc136965465"/>
      <w:bookmarkStart w:id="362" w:name="_Toc136965509"/>
      <w:bookmarkStart w:id="363" w:name="_Toc136965510"/>
      <w:bookmarkStart w:id="364" w:name="_Toc136965511"/>
      <w:bookmarkStart w:id="365" w:name="_Toc136965512"/>
      <w:bookmarkStart w:id="366" w:name="_Toc136965513"/>
      <w:bookmarkStart w:id="367" w:name="_Toc136965517"/>
      <w:bookmarkStart w:id="368" w:name="_Toc136965565"/>
      <w:bookmarkStart w:id="369" w:name="_Toc136965566"/>
      <w:bookmarkStart w:id="370" w:name="_Toc136965567"/>
      <w:bookmarkStart w:id="371" w:name="_Toc136965568"/>
      <w:bookmarkStart w:id="372" w:name="_Toc136965572"/>
      <w:bookmarkStart w:id="373" w:name="_Toc492021119"/>
      <w:bookmarkEnd w:id="28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92E1DFF" w14:textId="423252EE" w:rsidR="000109AC" w:rsidRPr="00C62D72" w:rsidRDefault="000109AC" w:rsidP="00D02827">
      <w:pPr>
        <w:pStyle w:val="Heading3"/>
        <w:rPr>
          <w:lang w:val="en-GB"/>
        </w:rPr>
      </w:pPr>
      <w:r w:rsidRPr="00C62D72">
        <w:rPr>
          <w:lang w:val="en-GB"/>
        </w:rPr>
        <w:t>Impairment of financial assets</w:t>
      </w:r>
    </w:p>
    <w:p w14:paraId="7ADC7C60" w14:textId="2EAA09AF" w:rsidR="00255EE0" w:rsidRPr="00CD11DE" w:rsidRDefault="00255EE0" w:rsidP="00255EE0">
      <w:pPr>
        <w:rPr>
          <w:sz w:val="20"/>
          <w:szCs w:val="20"/>
        </w:rPr>
      </w:pPr>
      <w:r w:rsidRPr="00CD11DE">
        <w:rPr>
          <w:sz w:val="20"/>
          <w:szCs w:val="20"/>
        </w:rPr>
        <w:t xml:space="preserve">Impairment of financial assets is based on a forward-looking expected credit loss (ECL) approach for financial assets classified as amortised cost and Fair Value through Other Comprehensive Income (FVOCI). </w:t>
      </w:r>
    </w:p>
    <w:p w14:paraId="779C6243" w14:textId="77777777" w:rsidR="00255EE0" w:rsidRPr="00CD11DE" w:rsidRDefault="00255EE0" w:rsidP="00255EE0">
      <w:pPr>
        <w:rPr>
          <w:sz w:val="20"/>
          <w:szCs w:val="20"/>
        </w:rPr>
      </w:pPr>
      <w:r w:rsidRPr="00CD11DE">
        <w:rPr>
          <w:sz w:val="20"/>
          <w:szCs w:val="20"/>
        </w:rPr>
        <w:t>The ECL approach utilises historical information, current conditions and forecasts of future economic conditions to generate the expected credit loss for assets. Multiple economic scenarios are modelled and weighted as part of the ECL calculation using a variety of future economic assumptions, including a central scenario which is based on the assumptions used in the Bank’s financial planning process, updated for any changes to the prevailing economic conditions at year end. At initial recognition, financial assets are categorised as stage 1 and an impairment provision is required for ECL resulting from default events expected within the next 12 months (12-month ECL).</w:t>
      </w:r>
    </w:p>
    <w:p w14:paraId="45729A0D" w14:textId="77777777" w:rsidR="00255EE0" w:rsidRPr="00CD11DE" w:rsidRDefault="00255EE0" w:rsidP="00255EE0">
      <w:pPr>
        <w:rPr>
          <w:sz w:val="20"/>
          <w:szCs w:val="20"/>
        </w:rPr>
      </w:pPr>
      <w:r w:rsidRPr="00CD11DE">
        <w:rPr>
          <w:sz w:val="20"/>
          <w:szCs w:val="20"/>
        </w:rPr>
        <w:t>The Bank assesses exposures to be in stage 2 when the accounts are more than 30 days past due or there has been a significant increase in credit risk compared to initial recognition. The Bank considers both quantitative and qualitative factors based on early warning indicators and expert credit risk assessment when making the determination. For assets in stage 2, the ECL recognised is equal to the expected loss calculated over the life of the exposure.</w:t>
      </w:r>
    </w:p>
    <w:p w14:paraId="588CCC59" w14:textId="07DB63A7" w:rsidR="00255EE0" w:rsidRPr="00CD11DE" w:rsidRDefault="00255EE0" w:rsidP="00255EE0">
      <w:pPr>
        <w:rPr>
          <w:sz w:val="20"/>
          <w:szCs w:val="20"/>
        </w:rPr>
      </w:pPr>
      <w:r w:rsidRPr="00CD11DE">
        <w:rPr>
          <w:sz w:val="20"/>
          <w:szCs w:val="20"/>
        </w:rPr>
        <w:lastRenderedPageBreak/>
        <w:t>Financial assets are included in stage 3 when there is objective evidence that the exposure is credit impaired, with expected credit losses still calculated on a lifetime basis. Exposures may be deemed to be impaired if they are more than 90 days past due or otherwise considered to be in default (including possession, insolvency and assets beyond term expiry). Criteria of application is consistent with the definition of default used for internal credit risk management purposes. The impairment provision is determined using the same calculation as stage 2, but with the Probability of Default (PD) set to 100%</w:t>
      </w:r>
      <w:r w:rsidR="00CE10B4" w:rsidRPr="00CE10B4">
        <w:rPr>
          <w:sz w:val="20"/>
          <w:szCs w:val="20"/>
        </w:rPr>
        <w:t xml:space="preserve"> </w:t>
      </w:r>
      <w:r w:rsidR="00CE10B4">
        <w:rPr>
          <w:sz w:val="20"/>
          <w:szCs w:val="20"/>
        </w:rPr>
        <w:t>along with EAD and LGD metrics</w:t>
      </w:r>
      <w:r w:rsidR="00CE10B4" w:rsidRPr="00CD11DE">
        <w:rPr>
          <w:sz w:val="20"/>
          <w:szCs w:val="20"/>
        </w:rPr>
        <w:t>.</w:t>
      </w:r>
      <w:r w:rsidR="00CE10B4">
        <w:rPr>
          <w:sz w:val="20"/>
          <w:szCs w:val="20"/>
        </w:rPr>
        <w:t xml:space="preserve"> This assessment is conducted at the specific individual customer level, incorporating tailored haircuts and discount </w:t>
      </w:r>
      <w:r w:rsidR="00576ECC">
        <w:rPr>
          <w:sz w:val="20"/>
          <w:szCs w:val="20"/>
        </w:rPr>
        <w:t>rates.</w:t>
      </w:r>
      <w:r w:rsidRPr="00CD11DE">
        <w:rPr>
          <w:sz w:val="20"/>
          <w:szCs w:val="20"/>
        </w:rPr>
        <w:t xml:space="preserve"> Profit income is calculated by applying the EPR to the net amortised cost of the financial assets (that is, net of credit allowance).</w:t>
      </w:r>
    </w:p>
    <w:p w14:paraId="2C885431" w14:textId="77777777" w:rsidR="00255EE0" w:rsidRPr="00CD11DE" w:rsidRDefault="00255EE0" w:rsidP="00255EE0">
      <w:pPr>
        <w:rPr>
          <w:sz w:val="20"/>
          <w:szCs w:val="20"/>
        </w:rPr>
      </w:pPr>
      <w:r w:rsidRPr="00CD11DE">
        <w:rPr>
          <w:sz w:val="20"/>
          <w:szCs w:val="20"/>
        </w:rPr>
        <w:t>The Bank does not hold any purchased or originated credit-impaired (POCI) assets, which would be classified separately from stage 1, 2 or 3 assets.</w:t>
      </w:r>
    </w:p>
    <w:p w14:paraId="342CA8EE" w14:textId="51F435D3" w:rsidR="004D24E6" w:rsidRPr="00CD11DE" w:rsidRDefault="00255EE0" w:rsidP="00255EE0">
      <w:pPr>
        <w:rPr>
          <w:sz w:val="20"/>
          <w:szCs w:val="20"/>
        </w:rPr>
      </w:pPr>
      <w:r w:rsidRPr="00CD11DE">
        <w:rPr>
          <w:sz w:val="20"/>
          <w:szCs w:val="20"/>
        </w:rPr>
        <w:t xml:space="preserve">Assets in stage 2 or 3 can be transferred back to stage 1 or 2 once the criteria which resulted in classification in stage 2 or 3 (significant increase in credit risk or impairment) are no longer met. For financing subject to other adverse events such as forbearance, accounts must first be up to date for a period of 90 days before they can be </w:t>
      </w:r>
      <w:r w:rsidR="00CE10B4">
        <w:rPr>
          <w:sz w:val="20"/>
          <w:szCs w:val="20"/>
        </w:rPr>
        <w:t>transitioned from Stage 3 to Stage 2. Additionally, a period of 30 days is required for the</w:t>
      </w:r>
      <w:r w:rsidR="00CE10B4" w:rsidRPr="00CD11DE">
        <w:rPr>
          <w:sz w:val="20"/>
          <w:szCs w:val="20"/>
        </w:rPr>
        <w:t xml:space="preserve"> trans</w:t>
      </w:r>
      <w:r w:rsidR="00CE10B4">
        <w:rPr>
          <w:sz w:val="20"/>
          <w:szCs w:val="20"/>
        </w:rPr>
        <w:t>ition</w:t>
      </w:r>
      <w:r w:rsidR="00CE10B4" w:rsidRPr="00CD11DE">
        <w:rPr>
          <w:sz w:val="20"/>
          <w:szCs w:val="20"/>
        </w:rPr>
        <w:t xml:space="preserve"> </w:t>
      </w:r>
      <w:r w:rsidR="00CE10B4">
        <w:rPr>
          <w:sz w:val="20"/>
          <w:szCs w:val="20"/>
        </w:rPr>
        <w:t>from</w:t>
      </w:r>
      <w:r w:rsidRPr="00CD11DE">
        <w:rPr>
          <w:sz w:val="20"/>
          <w:szCs w:val="20"/>
        </w:rPr>
        <w:t xml:space="preserve"> </w:t>
      </w:r>
      <w:r w:rsidR="00CE10B4">
        <w:rPr>
          <w:sz w:val="20"/>
          <w:szCs w:val="20"/>
        </w:rPr>
        <w:t>S</w:t>
      </w:r>
      <w:r w:rsidRPr="00CD11DE">
        <w:rPr>
          <w:sz w:val="20"/>
          <w:szCs w:val="20"/>
        </w:rPr>
        <w:t xml:space="preserve">tage </w:t>
      </w:r>
      <w:r w:rsidR="00CE10B4">
        <w:rPr>
          <w:sz w:val="20"/>
          <w:szCs w:val="20"/>
        </w:rPr>
        <w:t>2</w:t>
      </w:r>
      <w:r w:rsidRPr="00CD11DE">
        <w:rPr>
          <w:sz w:val="20"/>
          <w:szCs w:val="20"/>
        </w:rPr>
        <w:t xml:space="preserve"> or </w:t>
      </w:r>
      <w:r w:rsidR="00CE10B4">
        <w:rPr>
          <w:sz w:val="20"/>
          <w:szCs w:val="20"/>
        </w:rPr>
        <w:t>1</w:t>
      </w:r>
      <w:r w:rsidRPr="00CD11DE">
        <w:rPr>
          <w:sz w:val="20"/>
          <w:szCs w:val="20"/>
        </w:rPr>
        <w:t>, with consideration taken of other qualitative and quantitative factors including credit ratings.</w:t>
      </w:r>
    </w:p>
    <w:p w14:paraId="7E7BEDF8" w14:textId="05170AD1" w:rsidR="00F8266F" w:rsidRPr="00C62D72" w:rsidRDefault="00E87E29" w:rsidP="0023179E">
      <w:pPr>
        <w:pStyle w:val="Heading2"/>
        <w:rPr>
          <w:lang w:val="en-GB"/>
        </w:rPr>
      </w:pPr>
      <w:bookmarkStart w:id="374" w:name="_Toc199752844"/>
      <w:bookmarkStart w:id="375" w:name="_Toc201575416"/>
      <w:bookmarkEnd w:id="374"/>
      <w:r w:rsidRPr="00C62D72">
        <w:rPr>
          <w:lang w:val="en-GB"/>
        </w:rPr>
        <w:t>M</w:t>
      </w:r>
      <w:r w:rsidR="00FF7E75" w:rsidRPr="00C62D72">
        <w:rPr>
          <w:lang w:val="en-GB"/>
        </w:rPr>
        <w:t xml:space="preserve">arket </w:t>
      </w:r>
      <w:r w:rsidRPr="00C62D72">
        <w:rPr>
          <w:lang w:val="en-GB"/>
        </w:rPr>
        <w:t>R</w:t>
      </w:r>
      <w:r w:rsidR="00FF7E75" w:rsidRPr="00C62D72">
        <w:rPr>
          <w:lang w:val="en-GB"/>
        </w:rPr>
        <w:t>isk</w:t>
      </w:r>
      <w:bookmarkEnd w:id="373"/>
      <w:r w:rsidR="009740F2" w:rsidRPr="00C62D72">
        <w:rPr>
          <w:lang w:val="en-GB"/>
        </w:rPr>
        <w:t xml:space="preserve"> (including P</w:t>
      </w:r>
      <w:r w:rsidR="008B4FE5" w:rsidRPr="00C62D72">
        <w:rPr>
          <w:lang w:val="en-GB"/>
        </w:rPr>
        <w:t>rofit Rate Risk in the Banking Book</w:t>
      </w:r>
      <w:r w:rsidR="009740F2" w:rsidRPr="00C62D72">
        <w:rPr>
          <w:lang w:val="en-GB"/>
        </w:rPr>
        <w:t xml:space="preserve"> and FX Risk)</w:t>
      </w:r>
      <w:bookmarkEnd w:id="375"/>
    </w:p>
    <w:p w14:paraId="55EF3ED7" w14:textId="6A71A3AE" w:rsidR="004D24E6" w:rsidRPr="00CD11DE" w:rsidRDefault="004D24E6" w:rsidP="004D24E6">
      <w:pPr>
        <w:rPr>
          <w:sz w:val="20"/>
          <w:szCs w:val="20"/>
        </w:rPr>
      </w:pPr>
      <w:r w:rsidRPr="00CD11DE">
        <w:rPr>
          <w:sz w:val="20"/>
          <w:szCs w:val="20"/>
        </w:rPr>
        <w:t xml:space="preserve">Market Risk is defined by the Bank as the risk of </w:t>
      </w:r>
      <w:r w:rsidR="00CE10B4">
        <w:rPr>
          <w:sz w:val="20"/>
          <w:szCs w:val="20"/>
        </w:rPr>
        <w:t>a</w:t>
      </w:r>
      <w:r w:rsidRPr="00CD11DE">
        <w:rPr>
          <w:sz w:val="20"/>
          <w:szCs w:val="20"/>
        </w:rPr>
        <w:t xml:space="preserve"> reduction in earnings and/or value from unfavourable market movements. </w:t>
      </w:r>
    </w:p>
    <w:p w14:paraId="564A99F7" w14:textId="3B5EE416" w:rsidR="004D24E6" w:rsidRPr="00CD11DE" w:rsidRDefault="004D24E6" w:rsidP="004D24E6">
      <w:pPr>
        <w:rPr>
          <w:sz w:val="20"/>
          <w:szCs w:val="20"/>
        </w:rPr>
      </w:pPr>
      <w:r w:rsidRPr="00CD11DE">
        <w:rPr>
          <w:sz w:val="20"/>
          <w:szCs w:val="20"/>
        </w:rPr>
        <w:t>The Bank accepts a degree of market risk in the banking book</w:t>
      </w:r>
      <w:r w:rsidR="00CE10B4">
        <w:rPr>
          <w:sz w:val="20"/>
          <w:szCs w:val="20"/>
        </w:rPr>
        <w:t>. It</w:t>
      </w:r>
      <w:r w:rsidR="00445017">
        <w:rPr>
          <w:sz w:val="20"/>
          <w:szCs w:val="20"/>
        </w:rPr>
        <w:t xml:space="preserve"> </w:t>
      </w:r>
      <w:r w:rsidRPr="00CD11DE">
        <w:rPr>
          <w:sz w:val="20"/>
          <w:szCs w:val="20"/>
        </w:rPr>
        <w:t>does so in a way that manages and controls market risk exposures to optimise return while maintaining a limited and clearly controlled market risk profile consistent with the Bank’s relatively small size and complexity.</w:t>
      </w:r>
    </w:p>
    <w:p w14:paraId="07018D19" w14:textId="77777777" w:rsidR="004D24E6" w:rsidRPr="00CD11DE" w:rsidRDefault="004D24E6" w:rsidP="004D24E6">
      <w:pPr>
        <w:rPr>
          <w:sz w:val="20"/>
          <w:szCs w:val="20"/>
        </w:rPr>
      </w:pPr>
      <w:r w:rsidRPr="00CD11DE">
        <w:rPr>
          <w:sz w:val="20"/>
          <w:szCs w:val="20"/>
        </w:rPr>
        <w:t>The Bank does not run a proprietary trading book, and therefore for Pillar 1 purposes is only required to calculate a market risk requirement in respect of its foreign currency positions. The Bank has no appetite to undertake trading activities or to take proprietary positions in financial instruments.</w:t>
      </w:r>
    </w:p>
    <w:p w14:paraId="39D9B8CD" w14:textId="41D59240" w:rsidR="004D24E6" w:rsidRDefault="004D24E6" w:rsidP="004D24E6">
      <w:pPr>
        <w:rPr>
          <w:sz w:val="20"/>
          <w:szCs w:val="20"/>
        </w:rPr>
      </w:pPr>
      <w:r w:rsidRPr="00CD11DE">
        <w:rPr>
          <w:sz w:val="20"/>
          <w:szCs w:val="20"/>
        </w:rPr>
        <w:t xml:space="preserve">The base currency of the Bank is GBP, and any net positions in other currencies than GBP result in a foreign currency risk own funds requirement. </w:t>
      </w:r>
    </w:p>
    <w:p w14:paraId="18BABDE3" w14:textId="064F422D" w:rsidR="00695F8C" w:rsidRPr="00CD11DE" w:rsidRDefault="00695F8C" w:rsidP="004D24E6">
      <w:pPr>
        <w:rPr>
          <w:sz w:val="20"/>
          <w:szCs w:val="20"/>
        </w:rPr>
      </w:pPr>
      <w:r w:rsidRPr="00695F8C">
        <w:rPr>
          <w:sz w:val="20"/>
          <w:szCs w:val="20"/>
        </w:rPr>
        <w:t>The Bank’s assets are mainly denominated in GBP and funded through GBP deposits. However, a portion of GBP assets is funded through USD deposits. These USD deposits are converted to GBP using sharia-compliant forward rate FX swaps to address the currency mismatch. These swaps are prefunded, and the Bank may need to provide additional collateral if its position is negatively affected.</w:t>
      </w:r>
    </w:p>
    <w:p w14:paraId="7093703A" w14:textId="39587E03" w:rsidR="004D24E6" w:rsidRPr="00CD11DE" w:rsidRDefault="004D24E6" w:rsidP="004D24E6">
      <w:pPr>
        <w:rPr>
          <w:sz w:val="20"/>
          <w:szCs w:val="20"/>
        </w:rPr>
      </w:pPr>
      <w:r w:rsidRPr="00576ECC">
        <w:rPr>
          <w:sz w:val="20"/>
          <w:szCs w:val="20"/>
        </w:rPr>
        <w:t>As of 31</w:t>
      </w:r>
      <w:r w:rsidR="00A210C6" w:rsidRPr="00576ECC">
        <w:rPr>
          <w:sz w:val="20"/>
          <w:szCs w:val="20"/>
          <w:vertAlign w:val="superscript"/>
        </w:rPr>
        <w:t>st</w:t>
      </w:r>
      <w:r w:rsidR="00A210C6" w:rsidRPr="00576ECC">
        <w:rPr>
          <w:sz w:val="20"/>
          <w:szCs w:val="20"/>
        </w:rPr>
        <w:t xml:space="preserve"> </w:t>
      </w:r>
      <w:r w:rsidRPr="00576ECC">
        <w:rPr>
          <w:sz w:val="20"/>
          <w:szCs w:val="20"/>
        </w:rPr>
        <w:t xml:space="preserve">December </w:t>
      </w:r>
      <w:r w:rsidR="0023087C" w:rsidRPr="00576ECC">
        <w:rPr>
          <w:sz w:val="20"/>
          <w:szCs w:val="20"/>
        </w:rPr>
        <w:t>2024</w:t>
      </w:r>
      <w:r w:rsidRPr="00576ECC">
        <w:rPr>
          <w:sz w:val="20"/>
          <w:szCs w:val="20"/>
        </w:rPr>
        <w:t>, as the Bank’s overall net FX position was less than 2% of its total own funds, the Bank has not reported any capital requirement for Pillar 1 and the Bank expects to remain under this de minimis threshold in the future.</w:t>
      </w:r>
    </w:p>
    <w:p w14:paraId="7EDC98D3" w14:textId="1DA6D2F6" w:rsidR="00E100C1" w:rsidRDefault="004D24E6" w:rsidP="004D24E6">
      <w:pPr>
        <w:rPr>
          <w:sz w:val="20"/>
          <w:szCs w:val="20"/>
        </w:rPr>
      </w:pPr>
      <w:r w:rsidRPr="00576ECC">
        <w:rPr>
          <w:sz w:val="20"/>
          <w:szCs w:val="20"/>
        </w:rPr>
        <w:t>Market risk for the Bank is primarily associated with Profit Rate Risk in the Banking Book (‘PRRBB’). PRRBB is the risk (today or in the future) to the Bank’s capital and earnings resulting from adverse movements in profits rates, due to changes in rate indices (i.e. Bank of England Base Rate) which are used as a benchmark only by the Bank.</w:t>
      </w:r>
    </w:p>
    <w:p w14:paraId="787AC31F" w14:textId="77777777" w:rsidR="004D24E6" w:rsidRPr="00CD11DE" w:rsidRDefault="004D24E6" w:rsidP="004D24E6">
      <w:pPr>
        <w:rPr>
          <w:sz w:val="20"/>
          <w:szCs w:val="20"/>
        </w:rPr>
      </w:pPr>
      <w:r w:rsidRPr="00CD11DE">
        <w:rPr>
          <w:sz w:val="20"/>
          <w:szCs w:val="20"/>
        </w:rPr>
        <w:t>All profit rates and re-pricings are reviewed at ALCO or its sub-committees. ALCO is principally responsible for monitoring market risk, and it also reviews sensitivity of the Bank’s assets and liabilities to standard and non-standard changes in achievable effective rates.</w:t>
      </w:r>
    </w:p>
    <w:p w14:paraId="539243E8" w14:textId="35E1239A" w:rsidR="000279CA" w:rsidRPr="00CD11DE" w:rsidRDefault="004D24E6" w:rsidP="004D24E6">
      <w:pPr>
        <w:rPr>
          <w:sz w:val="20"/>
          <w:szCs w:val="20"/>
        </w:rPr>
      </w:pPr>
      <w:r w:rsidRPr="00CD11DE">
        <w:rPr>
          <w:sz w:val="20"/>
          <w:szCs w:val="20"/>
        </w:rPr>
        <w:lastRenderedPageBreak/>
        <w:t>The net profit income sensitivities are indicative and based on scenarios and shocks prescribed in Rule 9.4A of the PRA Rulebook: CRR Firms: Interest Rate Risk</w:t>
      </w:r>
      <w:r w:rsidR="000279CA">
        <w:rPr>
          <w:rStyle w:val="FootnoteReference"/>
          <w:sz w:val="20"/>
          <w:szCs w:val="20"/>
        </w:rPr>
        <w:footnoteReference w:id="7"/>
      </w:r>
      <w:r w:rsidRPr="00CD11DE">
        <w:rPr>
          <w:sz w:val="20"/>
          <w:szCs w:val="20"/>
        </w:rPr>
        <w:t xml:space="preserve">  Arising from Non Trading Activities Instrument 2020. They are also in accordance with Article 448(1) of the European Capital Requirements Regulation (CRR).</w:t>
      </w:r>
    </w:p>
    <w:p w14:paraId="6F23D4C4" w14:textId="11683CE1" w:rsidR="00AF3E89" w:rsidRPr="00CD11DE" w:rsidRDefault="00AF3E89" w:rsidP="00AF3E89">
      <w:pPr>
        <w:rPr>
          <w:iCs/>
          <w:color w:val="auto"/>
          <w:sz w:val="20"/>
          <w:szCs w:val="20"/>
        </w:rPr>
      </w:pPr>
      <w:r w:rsidRPr="00CD11DE">
        <w:rPr>
          <w:iCs/>
          <w:color w:val="auto"/>
          <w:sz w:val="20"/>
          <w:szCs w:val="20"/>
        </w:rPr>
        <w:t xml:space="preserve">Calculations are </w:t>
      </w:r>
      <w:r w:rsidR="000730E9" w:rsidRPr="00CD11DE">
        <w:rPr>
          <w:rFonts w:eastAsia="Times New Roman"/>
          <w:sz w:val="20"/>
          <w:szCs w:val="20"/>
        </w:rPr>
        <w:t>performed</w:t>
      </w:r>
      <w:r w:rsidR="000730E9" w:rsidRPr="00CD11DE" w:rsidDel="000730E9">
        <w:rPr>
          <w:iCs/>
          <w:color w:val="auto"/>
          <w:sz w:val="20"/>
          <w:szCs w:val="20"/>
        </w:rPr>
        <w:t xml:space="preserve"> </w:t>
      </w:r>
      <w:r w:rsidRPr="00CD11DE">
        <w:rPr>
          <w:iCs/>
          <w:color w:val="auto"/>
          <w:sz w:val="20"/>
          <w:szCs w:val="20"/>
        </w:rPr>
        <w:t>under the following scenarios</w:t>
      </w:r>
      <w:r w:rsidR="002751D4">
        <w:rPr>
          <w:iCs/>
          <w:color w:val="auto"/>
          <w:sz w:val="20"/>
          <w:szCs w:val="20"/>
        </w:rPr>
        <w:t xml:space="preserve"> (where an immediate shock of +/- 200 basis points (‘bps’) to the current market implied path of profit rates across one year are applied)</w:t>
      </w:r>
      <w:r w:rsidRPr="00CD11DE">
        <w:rPr>
          <w:iCs/>
          <w:color w:val="auto"/>
          <w:sz w:val="20"/>
          <w:szCs w:val="20"/>
        </w:rPr>
        <w:t>:</w:t>
      </w:r>
    </w:p>
    <w:p w14:paraId="4CA65E03" w14:textId="713DA6D8" w:rsidR="00AF3E89" w:rsidRPr="009262C5" w:rsidRDefault="00AF3E89" w:rsidP="009262C5">
      <w:pPr>
        <w:pStyle w:val="ListParagraph"/>
      </w:pPr>
      <w:r w:rsidRPr="009262C5">
        <w:t>Parallel up</w:t>
      </w:r>
    </w:p>
    <w:p w14:paraId="229E47ED" w14:textId="6536A6E6" w:rsidR="00AF3E89" w:rsidRPr="009262C5" w:rsidRDefault="00AF3E89" w:rsidP="009262C5">
      <w:pPr>
        <w:pStyle w:val="ListParagraph"/>
      </w:pPr>
      <w:r w:rsidRPr="009262C5">
        <w:t>Parallel down</w:t>
      </w:r>
    </w:p>
    <w:p w14:paraId="2D3A0C3E" w14:textId="1C324222" w:rsidR="00AF3E89" w:rsidRPr="00CD11DE" w:rsidRDefault="00AF3E89" w:rsidP="00AF3E89">
      <w:pPr>
        <w:rPr>
          <w:iCs/>
          <w:color w:val="auto"/>
          <w:sz w:val="20"/>
          <w:szCs w:val="20"/>
        </w:rPr>
      </w:pPr>
      <w:r w:rsidRPr="00CD11DE">
        <w:rPr>
          <w:iCs/>
          <w:color w:val="auto"/>
          <w:sz w:val="20"/>
          <w:szCs w:val="20"/>
        </w:rPr>
        <w:t>The EVE sensitivities are based on the six Basel Standard Outlier shocks</w:t>
      </w:r>
      <w:r w:rsidR="002751D4">
        <w:rPr>
          <w:iCs/>
          <w:color w:val="auto"/>
          <w:sz w:val="20"/>
          <w:szCs w:val="20"/>
        </w:rPr>
        <w:t xml:space="preserve"> (which apply an immediate shock off +/- 250 bps to the current market implied path of profit rates across one year)</w:t>
      </w:r>
      <w:r w:rsidRPr="00CD11DE">
        <w:rPr>
          <w:iCs/>
          <w:color w:val="auto"/>
          <w:sz w:val="20"/>
          <w:szCs w:val="20"/>
        </w:rPr>
        <w:t>:</w:t>
      </w:r>
    </w:p>
    <w:p w14:paraId="26F46265" w14:textId="0CB0F8F6" w:rsidR="00AF3E89" w:rsidRPr="009262C5" w:rsidRDefault="00AF3E89" w:rsidP="009262C5">
      <w:pPr>
        <w:pStyle w:val="ListParagraph"/>
      </w:pPr>
      <w:r w:rsidRPr="009262C5">
        <w:t>Parallel up</w:t>
      </w:r>
    </w:p>
    <w:p w14:paraId="086F7531" w14:textId="3DB2BAB1" w:rsidR="00AF3E89" w:rsidRPr="009262C5" w:rsidRDefault="00AF3E89" w:rsidP="009262C5">
      <w:pPr>
        <w:pStyle w:val="ListParagraph"/>
      </w:pPr>
      <w:r w:rsidRPr="009262C5">
        <w:t>Parallel down</w:t>
      </w:r>
    </w:p>
    <w:p w14:paraId="36EF8AA1" w14:textId="223A9D56" w:rsidR="00AF3E89" w:rsidRPr="009262C5" w:rsidRDefault="00AF3E89" w:rsidP="009262C5">
      <w:pPr>
        <w:pStyle w:val="ListParagraph"/>
      </w:pPr>
      <w:r w:rsidRPr="009262C5">
        <w:t>Steepener</w:t>
      </w:r>
      <w:r w:rsidR="00EE014A" w:rsidRPr="009262C5">
        <w:t xml:space="preserve"> (short rates down and long rates up)</w:t>
      </w:r>
    </w:p>
    <w:p w14:paraId="1EA61450" w14:textId="78244366" w:rsidR="00AF3E89" w:rsidRPr="009262C5" w:rsidRDefault="00AF3E89" w:rsidP="009262C5">
      <w:pPr>
        <w:pStyle w:val="ListParagraph"/>
      </w:pPr>
      <w:r w:rsidRPr="009262C5">
        <w:t>Flattener</w:t>
      </w:r>
      <w:r w:rsidR="00EE014A" w:rsidRPr="009262C5">
        <w:t xml:space="preserve"> (short rates up and long rates down)</w:t>
      </w:r>
    </w:p>
    <w:p w14:paraId="68404D8E" w14:textId="793DECB6" w:rsidR="009262C5" w:rsidRPr="009262C5" w:rsidRDefault="00AF3E89" w:rsidP="009262C5">
      <w:pPr>
        <w:pStyle w:val="ListParagraph"/>
      </w:pPr>
      <w:r w:rsidRPr="009262C5">
        <w:t>Short rates up</w:t>
      </w:r>
    </w:p>
    <w:p w14:paraId="27832E5D" w14:textId="57AF0AC9" w:rsidR="00AF3E89" w:rsidRPr="009262C5" w:rsidRDefault="00AF3E89" w:rsidP="009262C5">
      <w:pPr>
        <w:pStyle w:val="ListParagraph"/>
      </w:pPr>
      <w:r w:rsidRPr="009262C5">
        <w:t>Short rates down</w:t>
      </w:r>
    </w:p>
    <w:p w14:paraId="4E51DF18" w14:textId="77777777" w:rsidR="005F20DD" w:rsidRPr="00CD11DE" w:rsidRDefault="005F20DD" w:rsidP="00845681">
      <w:pPr>
        <w:ind w:left="-5"/>
        <w:jc w:val="left"/>
        <w:rPr>
          <w:sz w:val="20"/>
          <w:szCs w:val="20"/>
        </w:rPr>
      </w:pPr>
    </w:p>
    <w:p w14:paraId="6F7A0999" w14:textId="77777777" w:rsidR="008F55A3" w:rsidRDefault="008F55A3">
      <w:pPr>
        <w:keepLines w:val="0"/>
        <w:spacing w:after="160" w:line="259" w:lineRule="auto"/>
        <w:jc w:val="left"/>
      </w:pPr>
      <w:bookmarkStart w:id="376" w:name="_Toc492021122"/>
      <w:bookmarkStart w:id="377" w:name="_Hlk490758609"/>
    </w:p>
    <w:p w14:paraId="38B7E7D3" w14:textId="77777777" w:rsidR="008F55A3" w:rsidRDefault="008F55A3">
      <w:pPr>
        <w:keepLines w:val="0"/>
        <w:spacing w:after="160" w:line="259" w:lineRule="auto"/>
        <w:jc w:val="left"/>
      </w:pPr>
    </w:p>
    <w:p w14:paraId="6D11DDAC" w14:textId="77777777" w:rsidR="008F55A3" w:rsidRDefault="008F55A3">
      <w:pPr>
        <w:keepLines w:val="0"/>
        <w:spacing w:after="160" w:line="259" w:lineRule="auto"/>
        <w:jc w:val="left"/>
      </w:pPr>
    </w:p>
    <w:p w14:paraId="13ED02A1" w14:textId="77777777" w:rsidR="008F55A3" w:rsidRDefault="008F55A3">
      <w:pPr>
        <w:keepLines w:val="0"/>
        <w:spacing w:after="160" w:line="259" w:lineRule="auto"/>
        <w:jc w:val="left"/>
      </w:pPr>
    </w:p>
    <w:p w14:paraId="7116495E" w14:textId="77777777" w:rsidR="008F55A3" w:rsidRDefault="008F55A3">
      <w:pPr>
        <w:keepLines w:val="0"/>
        <w:spacing w:after="160" w:line="259" w:lineRule="auto"/>
        <w:jc w:val="left"/>
      </w:pPr>
    </w:p>
    <w:p w14:paraId="0026E71F" w14:textId="77777777" w:rsidR="008F55A3" w:rsidRDefault="008F55A3">
      <w:pPr>
        <w:keepLines w:val="0"/>
        <w:spacing w:after="160" w:line="259" w:lineRule="auto"/>
        <w:jc w:val="left"/>
      </w:pPr>
    </w:p>
    <w:p w14:paraId="405082F2" w14:textId="26F523A5" w:rsidR="009F754F" w:rsidRPr="00CD11DE" w:rsidRDefault="008F55A3" w:rsidP="007E0530">
      <w:pPr>
        <w:keepLines w:val="0"/>
        <w:spacing w:after="160" w:line="259" w:lineRule="auto"/>
        <w:jc w:val="center"/>
        <w:rPr>
          <w:b/>
          <w:sz w:val="20"/>
          <w:szCs w:val="20"/>
        </w:rPr>
      </w:pPr>
      <w:r w:rsidRPr="00D07D93">
        <w:rPr>
          <w:b/>
          <w:bCs/>
          <w:sz w:val="20"/>
          <w:szCs w:val="20"/>
        </w:rPr>
        <w:t>[Remainder of page intentionally left blank]</w:t>
      </w:r>
      <w:r w:rsidR="009F754F" w:rsidRPr="00CD11DE">
        <w:br w:type="page"/>
      </w:r>
    </w:p>
    <w:p w14:paraId="2A7DDA1F" w14:textId="469B2447" w:rsidR="00E87E29" w:rsidRPr="00C62D72" w:rsidRDefault="00E87E29" w:rsidP="0023179E">
      <w:pPr>
        <w:pStyle w:val="Heading2"/>
        <w:rPr>
          <w:lang w:val="en-GB"/>
        </w:rPr>
      </w:pPr>
      <w:bookmarkStart w:id="378" w:name="_Toc201575417"/>
      <w:bookmarkEnd w:id="376"/>
      <w:bookmarkEnd w:id="377"/>
      <w:r w:rsidRPr="00C62D72">
        <w:rPr>
          <w:lang w:val="en-GB"/>
        </w:rPr>
        <w:lastRenderedPageBreak/>
        <w:t>Operational Risk</w:t>
      </w:r>
      <w:bookmarkEnd w:id="378"/>
      <w:r w:rsidRPr="00C62D72">
        <w:rPr>
          <w:lang w:val="en-GB"/>
        </w:rPr>
        <w:t xml:space="preserve"> </w:t>
      </w:r>
    </w:p>
    <w:p w14:paraId="56CF34CD" w14:textId="155C0F6C" w:rsidR="0023179E" w:rsidRPr="00CD11DE" w:rsidRDefault="0023179E" w:rsidP="0023179E">
      <w:pPr>
        <w:ind w:left="-5"/>
        <w:rPr>
          <w:sz w:val="20"/>
          <w:szCs w:val="20"/>
        </w:rPr>
      </w:pPr>
      <w:r w:rsidRPr="00CD11DE">
        <w:rPr>
          <w:sz w:val="20"/>
          <w:szCs w:val="20"/>
        </w:rPr>
        <w:t xml:space="preserve">Operational risk is defined by the Bank as </w:t>
      </w:r>
      <w:r w:rsidR="00CE10B4" w:rsidRPr="00CE10B4">
        <w:rPr>
          <w:sz w:val="20"/>
          <w:szCs w:val="20"/>
        </w:rPr>
        <w:t>Inadequate or failed internal processes, including execution errors, change management, and selection, management and performance of third parties</w:t>
      </w:r>
      <w:r w:rsidRPr="00CD11DE">
        <w:rPr>
          <w:sz w:val="20"/>
          <w:szCs w:val="20"/>
        </w:rPr>
        <w:t>.</w:t>
      </w:r>
    </w:p>
    <w:p w14:paraId="5FC3ABB3" w14:textId="77777777" w:rsidR="0023179E" w:rsidRPr="00CD11DE" w:rsidRDefault="0023179E" w:rsidP="0023179E">
      <w:pPr>
        <w:ind w:left="-5"/>
        <w:rPr>
          <w:sz w:val="20"/>
          <w:szCs w:val="20"/>
        </w:rPr>
      </w:pPr>
      <w:r w:rsidRPr="00CD11DE">
        <w:rPr>
          <w:sz w:val="20"/>
          <w:szCs w:val="20"/>
        </w:rPr>
        <w:t xml:space="preserve">The Bank’s Operational Risk Management Policy requires operational risks to be identified, mitigated, monitored and reported upon with the objective to effectively manage the Bank’s operational risks and mitigate against operational losses. </w:t>
      </w:r>
    </w:p>
    <w:p w14:paraId="709ED0CF" w14:textId="77777777" w:rsidR="0023179E" w:rsidRPr="00CD11DE" w:rsidRDefault="0023179E" w:rsidP="0023179E">
      <w:pPr>
        <w:ind w:left="-5"/>
        <w:rPr>
          <w:sz w:val="20"/>
          <w:szCs w:val="20"/>
        </w:rPr>
      </w:pPr>
      <w:r w:rsidRPr="00CD11DE">
        <w:rPr>
          <w:sz w:val="20"/>
          <w:szCs w:val="20"/>
        </w:rPr>
        <w:t>The Bank has defined risk appetite metrics against each of its primary risk types within Operational Risk. These metrics are monitored and reported to ORC and LRCC, ERC and BRC as appropriate.</w:t>
      </w:r>
    </w:p>
    <w:p w14:paraId="17BD8CCA" w14:textId="2D6A2353" w:rsidR="0023179E" w:rsidRPr="00CD11DE" w:rsidRDefault="0023179E" w:rsidP="0023179E">
      <w:pPr>
        <w:ind w:left="-5"/>
        <w:rPr>
          <w:sz w:val="20"/>
          <w:szCs w:val="20"/>
        </w:rPr>
      </w:pPr>
      <w:r w:rsidRPr="00CD11DE">
        <w:rPr>
          <w:sz w:val="20"/>
          <w:szCs w:val="20"/>
        </w:rPr>
        <w:t xml:space="preserve">The Bank has applied the Basic Indicator Approach (‘BIA’) in accordance with Title III Chapter 2 of the CRR </w:t>
      </w:r>
      <w:r w:rsidR="00CE10B4" w:rsidRPr="00CD11DE">
        <w:rPr>
          <w:sz w:val="20"/>
          <w:szCs w:val="20"/>
        </w:rPr>
        <w:t>to</w:t>
      </w:r>
      <w:r w:rsidRPr="00CD11DE">
        <w:rPr>
          <w:sz w:val="20"/>
          <w:szCs w:val="20"/>
        </w:rPr>
        <w:t xml:space="preserve"> calculate its Pillar 1 operational risk capital requirement.</w:t>
      </w:r>
    </w:p>
    <w:p w14:paraId="5AF88961" w14:textId="6590A419" w:rsidR="0023179E" w:rsidRPr="00CD11DE" w:rsidRDefault="0023179E" w:rsidP="0023179E">
      <w:pPr>
        <w:ind w:left="-5"/>
        <w:rPr>
          <w:sz w:val="20"/>
          <w:szCs w:val="20"/>
        </w:rPr>
      </w:pPr>
      <w:r w:rsidRPr="00CD11DE">
        <w:rPr>
          <w:sz w:val="20"/>
          <w:szCs w:val="20"/>
        </w:rPr>
        <w:t>According to the CRR, under BIA, the own funds requirement for operational risk is equal to 15% of the average over three years of the relevant indicator.</w:t>
      </w:r>
    </w:p>
    <w:p w14:paraId="067A51AB" w14:textId="34EADF20" w:rsidR="00FE104F" w:rsidRPr="00CD11DE" w:rsidRDefault="00A20040" w:rsidP="0023179E">
      <w:pPr>
        <w:ind w:left="-5"/>
        <w:rPr>
          <w:sz w:val="20"/>
          <w:szCs w:val="20"/>
        </w:rPr>
      </w:pPr>
      <w:r w:rsidRPr="00CD11DE">
        <w:rPr>
          <w:sz w:val="20"/>
          <w:szCs w:val="20"/>
        </w:rPr>
        <w:t>The relevant indicator is calculated following the prescription in Article 316 of the CRR. It is the sum of the elements listed below considered with their positive or negative signs</w:t>
      </w:r>
      <w:r w:rsidR="00FE104F" w:rsidRPr="00CD11DE">
        <w:rPr>
          <w:sz w:val="20"/>
          <w:szCs w:val="20"/>
        </w:rPr>
        <w:t>:</w:t>
      </w:r>
    </w:p>
    <w:p w14:paraId="1FAE167B" w14:textId="77777777" w:rsidR="00DB181B" w:rsidRPr="00CD11DE" w:rsidRDefault="00DB181B" w:rsidP="009262C5">
      <w:pPr>
        <w:pStyle w:val="ListParagraph"/>
        <w:numPr>
          <w:ilvl w:val="0"/>
          <w:numId w:val="15"/>
        </w:numPr>
      </w:pPr>
      <w:r w:rsidRPr="00CD11DE">
        <w:t>Profit/rent receivable and similar income</w:t>
      </w:r>
    </w:p>
    <w:p w14:paraId="74A13510" w14:textId="77777777" w:rsidR="00DB181B" w:rsidRPr="00CD11DE" w:rsidRDefault="00DB181B" w:rsidP="009262C5">
      <w:pPr>
        <w:pStyle w:val="ListParagraph"/>
        <w:numPr>
          <w:ilvl w:val="0"/>
          <w:numId w:val="15"/>
        </w:numPr>
      </w:pPr>
      <w:r w:rsidRPr="00CD11DE">
        <w:t>Profit/rent payable and similar charges</w:t>
      </w:r>
    </w:p>
    <w:p w14:paraId="677D927B" w14:textId="77777777" w:rsidR="00DB181B" w:rsidRPr="00CD11DE" w:rsidRDefault="00DB181B" w:rsidP="009262C5">
      <w:pPr>
        <w:pStyle w:val="ListParagraph"/>
        <w:numPr>
          <w:ilvl w:val="0"/>
          <w:numId w:val="15"/>
        </w:numPr>
      </w:pPr>
      <w:r w:rsidRPr="00CD11DE">
        <w:t>Income from shares and other variable/fixed-yield securities</w:t>
      </w:r>
    </w:p>
    <w:p w14:paraId="576979A2" w14:textId="77777777" w:rsidR="00DB181B" w:rsidRPr="00CD11DE" w:rsidRDefault="00DB181B" w:rsidP="009262C5">
      <w:pPr>
        <w:pStyle w:val="ListParagraph"/>
        <w:numPr>
          <w:ilvl w:val="0"/>
          <w:numId w:val="15"/>
        </w:numPr>
      </w:pPr>
      <w:r w:rsidRPr="00CD11DE">
        <w:t>Commissions/fees receivable</w:t>
      </w:r>
    </w:p>
    <w:p w14:paraId="046C2CD9" w14:textId="77777777" w:rsidR="00DB181B" w:rsidRPr="00CD11DE" w:rsidRDefault="00DB181B" w:rsidP="009262C5">
      <w:pPr>
        <w:pStyle w:val="ListParagraph"/>
        <w:numPr>
          <w:ilvl w:val="0"/>
          <w:numId w:val="15"/>
        </w:numPr>
      </w:pPr>
      <w:r w:rsidRPr="00CD11DE">
        <w:t>Commissions/fees payable</w:t>
      </w:r>
    </w:p>
    <w:p w14:paraId="45013103" w14:textId="77777777" w:rsidR="00DB181B" w:rsidRPr="00CD11DE" w:rsidRDefault="00DB181B" w:rsidP="009262C5">
      <w:pPr>
        <w:pStyle w:val="ListParagraph"/>
        <w:numPr>
          <w:ilvl w:val="0"/>
          <w:numId w:val="15"/>
        </w:numPr>
      </w:pPr>
      <w:r w:rsidRPr="00CD11DE">
        <w:t>Net profit or net loss on financial operations</w:t>
      </w:r>
    </w:p>
    <w:p w14:paraId="74BDB7F9" w14:textId="77777777" w:rsidR="00DB181B" w:rsidRPr="00CD11DE" w:rsidRDefault="00DB181B" w:rsidP="009262C5">
      <w:pPr>
        <w:pStyle w:val="ListParagraph"/>
        <w:numPr>
          <w:ilvl w:val="0"/>
          <w:numId w:val="15"/>
        </w:numPr>
      </w:pPr>
      <w:r w:rsidRPr="00CD11DE">
        <w:t>Other operating income</w:t>
      </w:r>
    </w:p>
    <w:p w14:paraId="60755780" w14:textId="5BD9E09F" w:rsidR="00203156" w:rsidRPr="00CD11DE" w:rsidRDefault="00DB181B" w:rsidP="00B35480">
      <w:pPr>
        <w:rPr>
          <w:szCs w:val="20"/>
        </w:rPr>
      </w:pPr>
      <w:r w:rsidRPr="00CD11DE">
        <w:rPr>
          <w:sz w:val="20"/>
          <w:szCs w:val="20"/>
        </w:rPr>
        <w:t xml:space="preserve">The Bank employs a range of risk management tools and techniques to ensure the effective identification and mitigation through the RCSA process. The Bank also undertakes a range of scenario analysis, and compares this to historical or realised operational losses, </w:t>
      </w:r>
      <w:r w:rsidR="0041583D" w:rsidRPr="00CD11DE">
        <w:rPr>
          <w:sz w:val="20"/>
          <w:szCs w:val="20"/>
        </w:rPr>
        <w:t>to</w:t>
      </w:r>
      <w:r w:rsidRPr="00CD11DE">
        <w:rPr>
          <w:sz w:val="20"/>
          <w:szCs w:val="20"/>
        </w:rPr>
        <w:t xml:space="preserve"> consider the level of operational risk capital required in addition to the Pillar 1 requirement.</w:t>
      </w:r>
    </w:p>
    <w:p w14:paraId="6FA40DFC" w14:textId="1309E0A9" w:rsidR="00E87E29" w:rsidRPr="00CD11DE" w:rsidRDefault="00A20040" w:rsidP="00E87E29">
      <w:pPr>
        <w:jc w:val="left"/>
        <w:rPr>
          <w:sz w:val="20"/>
          <w:szCs w:val="20"/>
        </w:rPr>
      </w:pPr>
      <w:r w:rsidRPr="00CD11DE">
        <w:rPr>
          <w:sz w:val="20"/>
          <w:szCs w:val="20"/>
        </w:rPr>
        <w:t xml:space="preserve">Table 18 and 19 below show movements in RWAs for operational risk during </w:t>
      </w:r>
      <w:r w:rsidR="0023087C">
        <w:rPr>
          <w:sz w:val="20"/>
          <w:szCs w:val="20"/>
        </w:rPr>
        <w:t>2024</w:t>
      </w:r>
      <w:r w:rsidRPr="00CD11DE">
        <w:rPr>
          <w:sz w:val="20"/>
          <w:szCs w:val="20"/>
        </w:rPr>
        <w:t xml:space="preserve"> and </w:t>
      </w:r>
      <w:r w:rsidR="0023087C">
        <w:rPr>
          <w:sz w:val="20"/>
          <w:szCs w:val="20"/>
        </w:rPr>
        <w:t>2023</w:t>
      </w:r>
      <w:r w:rsidR="00E87E29" w:rsidRPr="00CD11DE">
        <w:rPr>
          <w:sz w:val="20"/>
          <w:szCs w:val="20"/>
        </w:rPr>
        <w:t>:</w:t>
      </w:r>
    </w:p>
    <w:p w14:paraId="47403BDC" w14:textId="7DDD3E52" w:rsidR="00FE104F" w:rsidRPr="00CD11DE" w:rsidRDefault="00FE104F"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18</w:t>
      </w:r>
      <w:r w:rsidRPr="00CD11DE">
        <w:fldChar w:fldCharType="end"/>
      </w:r>
      <w:r w:rsidRPr="00CD11DE">
        <w:t xml:space="preserve">: Operational risk RWAs flow statement and minimum Pillar 1 capital requirement </w:t>
      </w:r>
      <w:r w:rsidR="0023087C">
        <w:t>2024</w:t>
      </w:r>
    </w:p>
    <w:tbl>
      <w:tblPr>
        <w:tblW w:w="5000" w:type="pct"/>
        <w:tblLook w:val="04A0" w:firstRow="1" w:lastRow="0" w:firstColumn="1" w:lastColumn="0" w:noHBand="0" w:noVBand="1"/>
      </w:tblPr>
      <w:tblGrid>
        <w:gridCol w:w="6891"/>
        <w:gridCol w:w="2126"/>
      </w:tblGrid>
      <w:tr w:rsidR="00E87E29" w:rsidRPr="00CD11DE" w14:paraId="0EDC8D49" w14:textId="77777777" w:rsidTr="006F3279">
        <w:trPr>
          <w:trHeight w:val="264"/>
        </w:trPr>
        <w:tc>
          <w:tcPr>
            <w:tcW w:w="3821" w:type="pct"/>
            <w:tcBorders>
              <w:top w:val="single" w:sz="8" w:space="0" w:color="FFFFFF"/>
              <w:left w:val="single" w:sz="8" w:space="0" w:color="FFFFFF"/>
              <w:bottom w:val="single" w:sz="8" w:space="0" w:color="FFFFFF"/>
              <w:right w:val="single" w:sz="8" w:space="0" w:color="FFFFFF"/>
            </w:tcBorders>
            <w:shd w:val="clear" w:color="auto" w:fill="06B1D6" w:themeFill="accent1"/>
            <w:vAlign w:val="center"/>
            <w:hideMark/>
          </w:tcPr>
          <w:p w14:paraId="7D80A8AB" w14:textId="77777777" w:rsidR="00E87E29" w:rsidRPr="00CD11DE" w:rsidRDefault="00E87E29" w:rsidP="00FC6794">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w:t>
            </w:r>
          </w:p>
        </w:tc>
        <w:tc>
          <w:tcPr>
            <w:tcW w:w="1179" w:type="pct"/>
            <w:tcBorders>
              <w:top w:val="single" w:sz="8" w:space="0" w:color="FFFFFF"/>
              <w:left w:val="nil"/>
              <w:bottom w:val="single" w:sz="8" w:space="0" w:color="FFFFFF"/>
              <w:right w:val="single" w:sz="8" w:space="0" w:color="FFFFFF"/>
            </w:tcBorders>
            <w:shd w:val="clear" w:color="auto" w:fill="06B1D6" w:themeFill="accent1"/>
            <w:vAlign w:val="center"/>
            <w:hideMark/>
          </w:tcPr>
          <w:p w14:paraId="4BD393DE" w14:textId="77777777" w:rsidR="00E87E29" w:rsidRPr="00CD11DE" w:rsidRDefault="00E87E29"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173B0E" w:rsidRPr="00CD11DE" w14:paraId="21CD1422" w14:textId="77777777" w:rsidTr="006F3279">
        <w:trPr>
          <w:trHeight w:val="264"/>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3E24D0A2" w14:textId="2BACD58A" w:rsidR="00173B0E" w:rsidRPr="00CD11DE" w:rsidRDefault="00173B0E" w:rsidP="00173B0E">
            <w:pPr>
              <w:keepLines w:val="0"/>
              <w:spacing w:after="0" w:line="240" w:lineRule="auto"/>
              <w:jc w:val="left"/>
              <w:rPr>
                <w:rFonts w:eastAsia="Times New Roman"/>
                <w:b/>
                <w:bCs/>
                <w:color w:val="FFFFFF"/>
                <w:sz w:val="18"/>
                <w:szCs w:val="18"/>
              </w:rPr>
            </w:pPr>
            <w:bookmarkStart w:id="379" w:name="_Hlk137125355"/>
            <w:r w:rsidRPr="00CD11DE">
              <w:rPr>
                <w:rFonts w:eastAsia="Times New Roman"/>
                <w:b/>
                <w:bCs/>
                <w:color w:val="FFFFFF"/>
                <w:sz w:val="18"/>
                <w:szCs w:val="18"/>
              </w:rPr>
              <w:t>RWAs at 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January </w:t>
            </w:r>
            <w:r>
              <w:rPr>
                <w:rFonts w:eastAsia="Times New Roman"/>
                <w:b/>
                <w:bCs/>
                <w:color w:val="FFFFFF"/>
                <w:sz w:val="18"/>
                <w:szCs w:val="18"/>
              </w:rPr>
              <w:t>2024</w:t>
            </w:r>
          </w:p>
        </w:tc>
        <w:tc>
          <w:tcPr>
            <w:tcW w:w="1179" w:type="pct"/>
            <w:tcBorders>
              <w:top w:val="nil"/>
              <w:left w:val="nil"/>
              <w:bottom w:val="single" w:sz="8" w:space="0" w:color="BFBFBF"/>
              <w:right w:val="single" w:sz="8" w:space="0" w:color="BFBFBF"/>
            </w:tcBorders>
            <w:shd w:val="clear" w:color="auto" w:fill="auto"/>
          </w:tcPr>
          <w:p w14:paraId="2564A9A6" w14:textId="2088CB74" w:rsidR="00173B0E" w:rsidRPr="00173B0E" w:rsidRDefault="00173B0E" w:rsidP="00173B0E">
            <w:pPr>
              <w:keepLines w:val="0"/>
              <w:spacing w:after="0" w:line="240" w:lineRule="auto"/>
              <w:jc w:val="right"/>
              <w:rPr>
                <w:sz w:val="18"/>
                <w:szCs w:val="18"/>
              </w:rPr>
            </w:pPr>
            <w:r w:rsidRPr="007E0530">
              <w:rPr>
                <w:sz w:val="18"/>
                <w:szCs w:val="18"/>
              </w:rPr>
              <w:t>105.4</w:t>
            </w:r>
          </w:p>
        </w:tc>
      </w:tr>
      <w:tr w:rsidR="00173B0E" w:rsidRPr="00CD11DE" w14:paraId="4230B184" w14:textId="77777777" w:rsidTr="006F3279">
        <w:trPr>
          <w:trHeight w:val="264"/>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538A1320"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Increase in revenue generation</w:t>
            </w:r>
          </w:p>
        </w:tc>
        <w:tc>
          <w:tcPr>
            <w:tcW w:w="1179" w:type="pct"/>
            <w:tcBorders>
              <w:top w:val="nil"/>
              <w:left w:val="nil"/>
              <w:bottom w:val="single" w:sz="8" w:space="0" w:color="auto"/>
              <w:right w:val="single" w:sz="8" w:space="0" w:color="BFBFBF"/>
            </w:tcBorders>
            <w:shd w:val="clear" w:color="auto" w:fill="auto"/>
          </w:tcPr>
          <w:p w14:paraId="730C83FF" w14:textId="3AF1DD15" w:rsidR="00173B0E" w:rsidRPr="00173B0E" w:rsidRDefault="00173B0E" w:rsidP="00173B0E">
            <w:pPr>
              <w:keepLines w:val="0"/>
              <w:spacing w:after="0" w:line="240" w:lineRule="auto"/>
              <w:jc w:val="right"/>
              <w:rPr>
                <w:sz w:val="18"/>
                <w:szCs w:val="18"/>
              </w:rPr>
            </w:pPr>
            <w:r w:rsidRPr="007E0530">
              <w:rPr>
                <w:sz w:val="18"/>
                <w:szCs w:val="18"/>
              </w:rPr>
              <w:t>11.9</w:t>
            </w:r>
          </w:p>
        </w:tc>
      </w:tr>
      <w:tr w:rsidR="00173B0E" w:rsidRPr="00CD11DE" w14:paraId="0DBE360C" w14:textId="77777777" w:rsidTr="006F3279">
        <w:trPr>
          <w:trHeight w:val="264"/>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6116F3BC" w14:textId="6BBB5474"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RWAs at 31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December </w:t>
            </w:r>
            <w:r>
              <w:rPr>
                <w:rFonts w:eastAsia="Times New Roman"/>
                <w:b/>
                <w:bCs/>
                <w:color w:val="FFFFFF"/>
                <w:sz w:val="18"/>
                <w:szCs w:val="18"/>
              </w:rPr>
              <w:t>2024</w:t>
            </w:r>
          </w:p>
        </w:tc>
        <w:tc>
          <w:tcPr>
            <w:tcW w:w="1179" w:type="pct"/>
            <w:tcBorders>
              <w:top w:val="single" w:sz="8" w:space="0" w:color="auto"/>
              <w:left w:val="nil"/>
              <w:bottom w:val="single" w:sz="8" w:space="0" w:color="auto"/>
              <w:right w:val="single" w:sz="8" w:space="0" w:color="BFBFBF"/>
            </w:tcBorders>
            <w:shd w:val="clear" w:color="auto" w:fill="auto"/>
          </w:tcPr>
          <w:p w14:paraId="48916AE2" w14:textId="0CA3E094" w:rsidR="00173B0E" w:rsidRPr="00173B0E" w:rsidRDefault="00173B0E" w:rsidP="00173B0E">
            <w:pPr>
              <w:keepLines w:val="0"/>
              <w:spacing w:after="0" w:line="240" w:lineRule="auto"/>
              <w:jc w:val="right"/>
              <w:rPr>
                <w:sz w:val="18"/>
                <w:szCs w:val="18"/>
              </w:rPr>
            </w:pPr>
            <w:r w:rsidRPr="007E0530">
              <w:rPr>
                <w:sz w:val="18"/>
                <w:szCs w:val="18"/>
              </w:rPr>
              <w:t>117.3</w:t>
            </w:r>
          </w:p>
        </w:tc>
      </w:tr>
      <w:tr w:rsidR="00173B0E" w:rsidRPr="00CD11DE" w14:paraId="1A4B5AC4" w14:textId="77777777" w:rsidTr="006F3279">
        <w:trPr>
          <w:trHeight w:val="281"/>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552C2AF2" w14:textId="05EB39C1"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Operational risk Pillar 1 capital requirement at 31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December </w:t>
            </w:r>
            <w:r>
              <w:rPr>
                <w:rFonts w:eastAsia="Times New Roman"/>
                <w:b/>
                <w:bCs/>
                <w:color w:val="FFFFFF"/>
                <w:sz w:val="18"/>
                <w:szCs w:val="18"/>
              </w:rPr>
              <w:t>2024</w:t>
            </w:r>
          </w:p>
        </w:tc>
        <w:tc>
          <w:tcPr>
            <w:tcW w:w="1179" w:type="pct"/>
            <w:tcBorders>
              <w:top w:val="single" w:sz="8" w:space="0" w:color="auto"/>
              <w:left w:val="nil"/>
              <w:bottom w:val="single" w:sz="8" w:space="0" w:color="BFBFBF"/>
              <w:right w:val="single" w:sz="8" w:space="0" w:color="BFBFBF"/>
            </w:tcBorders>
            <w:shd w:val="clear" w:color="auto" w:fill="auto"/>
          </w:tcPr>
          <w:p w14:paraId="1A7875C9" w14:textId="2C134621" w:rsidR="00173B0E" w:rsidRPr="00173B0E" w:rsidRDefault="00173B0E" w:rsidP="00173B0E">
            <w:pPr>
              <w:keepLines w:val="0"/>
              <w:spacing w:after="0" w:line="240" w:lineRule="auto"/>
              <w:jc w:val="right"/>
              <w:rPr>
                <w:sz w:val="18"/>
                <w:szCs w:val="18"/>
              </w:rPr>
            </w:pPr>
            <w:r w:rsidRPr="007E0530">
              <w:rPr>
                <w:sz w:val="18"/>
                <w:szCs w:val="18"/>
              </w:rPr>
              <w:t>9.4</w:t>
            </w:r>
          </w:p>
        </w:tc>
      </w:tr>
      <w:bookmarkEnd w:id="379"/>
    </w:tbl>
    <w:p w14:paraId="57E5D443" w14:textId="77777777" w:rsidR="00E87E29" w:rsidRPr="00CD11DE" w:rsidRDefault="00E87E29" w:rsidP="00E87E29">
      <w:pPr>
        <w:jc w:val="left"/>
        <w:rPr>
          <w:sz w:val="20"/>
          <w:szCs w:val="20"/>
        </w:rPr>
      </w:pPr>
    </w:p>
    <w:p w14:paraId="4C297113" w14:textId="3333C07C" w:rsidR="001D4082" w:rsidRPr="00CD11DE" w:rsidRDefault="001D4082"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19</w:t>
      </w:r>
      <w:r w:rsidRPr="00CD11DE">
        <w:fldChar w:fldCharType="end"/>
      </w:r>
      <w:r w:rsidRPr="00CD11DE">
        <w:t xml:space="preserve">: Operational risk RWAs flow statement and minimum Pillar 1 capital requirement </w:t>
      </w:r>
      <w:r w:rsidR="0023087C">
        <w:t>2023</w:t>
      </w:r>
    </w:p>
    <w:tbl>
      <w:tblPr>
        <w:tblW w:w="5000" w:type="pct"/>
        <w:tblLook w:val="04A0" w:firstRow="1" w:lastRow="0" w:firstColumn="1" w:lastColumn="0" w:noHBand="0" w:noVBand="1"/>
      </w:tblPr>
      <w:tblGrid>
        <w:gridCol w:w="6891"/>
        <w:gridCol w:w="2126"/>
      </w:tblGrid>
      <w:tr w:rsidR="00E15B44" w:rsidRPr="00CD11DE" w14:paraId="747ADF80" w14:textId="77777777" w:rsidTr="006F3279">
        <w:trPr>
          <w:trHeight w:val="268"/>
        </w:trPr>
        <w:tc>
          <w:tcPr>
            <w:tcW w:w="3821" w:type="pct"/>
            <w:tcBorders>
              <w:top w:val="single" w:sz="8" w:space="0" w:color="FFFFFF"/>
              <w:left w:val="single" w:sz="8" w:space="0" w:color="FFFFFF"/>
              <w:bottom w:val="single" w:sz="8" w:space="0" w:color="FFFFFF"/>
              <w:right w:val="single" w:sz="8" w:space="0" w:color="FFFFFF"/>
            </w:tcBorders>
            <w:shd w:val="clear" w:color="auto" w:fill="06B1D6" w:themeFill="accent1"/>
            <w:vAlign w:val="center"/>
            <w:hideMark/>
          </w:tcPr>
          <w:p w14:paraId="387878C0" w14:textId="57AB91AC" w:rsidR="00E15B44" w:rsidRPr="00CD11DE" w:rsidRDefault="00E15B44" w:rsidP="00E15B44">
            <w:pPr>
              <w:keepLines w:val="0"/>
              <w:spacing w:after="0" w:line="240" w:lineRule="auto"/>
              <w:jc w:val="left"/>
              <w:rPr>
                <w:rFonts w:eastAsia="Times New Roman"/>
                <w:b/>
                <w:bCs/>
                <w:color w:val="FFFFFF"/>
                <w:sz w:val="18"/>
                <w:szCs w:val="18"/>
              </w:rPr>
            </w:pPr>
            <w:bookmarkStart w:id="380" w:name="_Toc492111199"/>
            <w:r w:rsidRPr="00CD11DE">
              <w:rPr>
                <w:rFonts w:eastAsia="Times New Roman"/>
                <w:b/>
                <w:bCs/>
                <w:color w:val="FFFFFF"/>
                <w:sz w:val="18"/>
                <w:szCs w:val="18"/>
              </w:rPr>
              <w:t> </w:t>
            </w:r>
          </w:p>
        </w:tc>
        <w:tc>
          <w:tcPr>
            <w:tcW w:w="1179" w:type="pct"/>
            <w:tcBorders>
              <w:top w:val="single" w:sz="8" w:space="0" w:color="FFFFFF"/>
              <w:left w:val="nil"/>
              <w:bottom w:val="single" w:sz="8" w:space="0" w:color="FFFFFF"/>
              <w:right w:val="single" w:sz="8" w:space="0" w:color="FFFFFF"/>
            </w:tcBorders>
            <w:shd w:val="clear" w:color="auto" w:fill="06B1D6" w:themeFill="accent1"/>
            <w:vAlign w:val="center"/>
            <w:hideMark/>
          </w:tcPr>
          <w:p w14:paraId="00BD2D2E" w14:textId="6C0051AB" w:rsidR="00E15B44" w:rsidRPr="00CD11DE" w:rsidRDefault="00E15B44"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16685E" w:rsidRPr="00CD11DE" w14:paraId="2AF22DC5" w14:textId="77777777" w:rsidTr="006F3279">
        <w:trPr>
          <w:trHeight w:val="268"/>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28DD2EA2" w14:textId="636C1CD4"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RWAs at 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January </w:t>
            </w:r>
            <w:r>
              <w:rPr>
                <w:rFonts w:eastAsia="Times New Roman"/>
                <w:b/>
                <w:bCs/>
                <w:color w:val="FFFFFF"/>
                <w:sz w:val="18"/>
                <w:szCs w:val="18"/>
              </w:rPr>
              <w:t>2023</w:t>
            </w:r>
          </w:p>
        </w:tc>
        <w:tc>
          <w:tcPr>
            <w:tcW w:w="1179" w:type="pct"/>
            <w:tcBorders>
              <w:top w:val="nil"/>
              <w:left w:val="nil"/>
              <w:bottom w:val="single" w:sz="8" w:space="0" w:color="BFBFBF"/>
              <w:right w:val="single" w:sz="8" w:space="0" w:color="BFBFBF"/>
            </w:tcBorders>
            <w:shd w:val="clear" w:color="auto" w:fill="auto"/>
            <w:vAlign w:val="center"/>
            <w:hideMark/>
          </w:tcPr>
          <w:p w14:paraId="4852C8E7" w14:textId="459ACB4E" w:rsidR="0016685E" w:rsidRPr="00CD11DE" w:rsidRDefault="0016685E" w:rsidP="0016685E">
            <w:pPr>
              <w:keepLines w:val="0"/>
              <w:spacing w:after="0" w:line="240" w:lineRule="auto"/>
              <w:jc w:val="right"/>
              <w:rPr>
                <w:rFonts w:eastAsia="Times New Roman"/>
                <w:sz w:val="18"/>
                <w:szCs w:val="18"/>
              </w:rPr>
            </w:pPr>
            <w:r w:rsidRPr="00CD11DE">
              <w:rPr>
                <w:rFonts w:eastAsia="Times New Roman"/>
                <w:sz w:val="18"/>
                <w:szCs w:val="18"/>
              </w:rPr>
              <w:t>85.9</w:t>
            </w:r>
          </w:p>
        </w:tc>
      </w:tr>
      <w:tr w:rsidR="0016685E" w:rsidRPr="00CD11DE" w14:paraId="035C0050" w14:textId="77777777" w:rsidTr="006F3279">
        <w:trPr>
          <w:trHeight w:val="268"/>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27D2AEF7" w14:textId="097EF7E3"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Increase in revenue generation</w:t>
            </w:r>
          </w:p>
        </w:tc>
        <w:tc>
          <w:tcPr>
            <w:tcW w:w="1179" w:type="pct"/>
            <w:tcBorders>
              <w:top w:val="nil"/>
              <w:left w:val="nil"/>
              <w:bottom w:val="single" w:sz="8" w:space="0" w:color="auto"/>
              <w:right w:val="single" w:sz="8" w:space="0" w:color="BFBFBF"/>
            </w:tcBorders>
            <w:shd w:val="clear" w:color="auto" w:fill="auto"/>
            <w:vAlign w:val="center"/>
            <w:hideMark/>
          </w:tcPr>
          <w:p w14:paraId="588F0FBF" w14:textId="5E764474" w:rsidR="0016685E" w:rsidRPr="00CD11DE" w:rsidRDefault="0016685E" w:rsidP="0016685E">
            <w:pPr>
              <w:keepLines w:val="0"/>
              <w:spacing w:after="0" w:line="240" w:lineRule="auto"/>
              <w:jc w:val="right"/>
              <w:rPr>
                <w:rFonts w:eastAsia="Times New Roman"/>
                <w:sz w:val="18"/>
                <w:szCs w:val="18"/>
              </w:rPr>
            </w:pPr>
            <w:r w:rsidRPr="00CD11DE">
              <w:rPr>
                <w:sz w:val="18"/>
              </w:rPr>
              <w:t>19.5</w:t>
            </w:r>
          </w:p>
        </w:tc>
      </w:tr>
      <w:tr w:rsidR="0016685E" w:rsidRPr="00CD11DE" w14:paraId="17381F27" w14:textId="77777777" w:rsidTr="006F3279">
        <w:trPr>
          <w:trHeight w:val="268"/>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7B849C14" w14:textId="7A2CFD2A"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RWAs at 31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December </w:t>
            </w:r>
            <w:r>
              <w:rPr>
                <w:rFonts w:eastAsia="Times New Roman"/>
                <w:b/>
                <w:bCs/>
                <w:color w:val="FFFFFF"/>
                <w:sz w:val="18"/>
                <w:szCs w:val="18"/>
              </w:rPr>
              <w:t>2023</w:t>
            </w:r>
          </w:p>
        </w:tc>
        <w:tc>
          <w:tcPr>
            <w:tcW w:w="1179" w:type="pct"/>
            <w:tcBorders>
              <w:top w:val="single" w:sz="8" w:space="0" w:color="auto"/>
              <w:left w:val="nil"/>
              <w:bottom w:val="single" w:sz="8" w:space="0" w:color="auto"/>
              <w:right w:val="single" w:sz="8" w:space="0" w:color="BFBFBF"/>
            </w:tcBorders>
            <w:shd w:val="clear" w:color="auto" w:fill="auto"/>
            <w:vAlign w:val="center"/>
            <w:hideMark/>
          </w:tcPr>
          <w:p w14:paraId="2964B31D" w14:textId="2AF92B19" w:rsidR="0016685E" w:rsidRPr="00CD11DE" w:rsidRDefault="0016685E" w:rsidP="0016685E">
            <w:pPr>
              <w:keepLines w:val="0"/>
              <w:spacing w:after="0" w:line="240" w:lineRule="auto"/>
              <w:jc w:val="right"/>
              <w:rPr>
                <w:rFonts w:eastAsia="Times New Roman"/>
                <w:sz w:val="18"/>
                <w:szCs w:val="18"/>
              </w:rPr>
            </w:pPr>
            <w:r w:rsidRPr="00CD11DE">
              <w:rPr>
                <w:sz w:val="18"/>
              </w:rPr>
              <w:t>105.4</w:t>
            </w:r>
          </w:p>
        </w:tc>
      </w:tr>
      <w:tr w:rsidR="0016685E" w:rsidRPr="00CD11DE" w14:paraId="7EE3B381" w14:textId="77777777" w:rsidTr="006F3279">
        <w:trPr>
          <w:trHeight w:val="268"/>
        </w:trPr>
        <w:tc>
          <w:tcPr>
            <w:tcW w:w="3821"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5F0FD6CF" w14:textId="33F714DB" w:rsidR="0016685E" w:rsidRPr="00CD11DE" w:rsidRDefault="0016685E" w:rsidP="0016685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Operational risk Pillar 1 capital requirement at 31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December </w:t>
            </w:r>
            <w:r>
              <w:rPr>
                <w:rFonts w:eastAsia="Times New Roman"/>
                <w:b/>
                <w:bCs/>
                <w:color w:val="FFFFFF"/>
                <w:sz w:val="18"/>
                <w:szCs w:val="18"/>
              </w:rPr>
              <w:t>2023</w:t>
            </w:r>
          </w:p>
        </w:tc>
        <w:tc>
          <w:tcPr>
            <w:tcW w:w="1179" w:type="pct"/>
            <w:tcBorders>
              <w:top w:val="single" w:sz="8" w:space="0" w:color="auto"/>
              <w:left w:val="nil"/>
              <w:bottom w:val="single" w:sz="8" w:space="0" w:color="BFBFBF"/>
              <w:right w:val="single" w:sz="8" w:space="0" w:color="BFBFBF"/>
            </w:tcBorders>
            <w:shd w:val="clear" w:color="auto" w:fill="auto"/>
            <w:vAlign w:val="center"/>
            <w:hideMark/>
          </w:tcPr>
          <w:p w14:paraId="7DB0B383" w14:textId="28E7E6EF" w:rsidR="0016685E" w:rsidRPr="00CD11DE" w:rsidRDefault="0016685E" w:rsidP="0016685E">
            <w:pPr>
              <w:keepLines w:val="0"/>
              <w:spacing w:after="0" w:line="240" w:lineRule="auto"/>
              <w:jc w:val="right"/>
              <w:rPr>
                <w:rFonts w:eastAsia="Times New Roman"/>
                <w:sz w:val="18"/>
                <w:szCs w:val="18"/>
              </w:rPr>
            </w:pPr>
            <w:r w:rsidRPr="00CD11DE">
              <w:rPr>
                <w:sz w:val="18"/>
              </w:rPr>
              <w:t>8.4</w:t>
            </w:r>
          </w:p>
        </w:tc>
      </w:tr>
    </w:tbl>
    <w:p w14:paraId="38842167" w14:textId="3BF227A1" w:rsidR="00E04F85" w:rsidRPr="00C62D72" w:rsidRDefault="00D51F2C" w:rsidP="0023179E">
      <w:pPr>
        <w:pStyle w:val="Heading2"/>
        <w:rPr>
          <w:lang w:val="en-GB"/>
        </w:rPr>
      </w:pPr>
      <w:bookmarkStart w:id="381" w:name="_Toc168322175"/>
      <w:bookmarkStart w:id="382" w:name="_Toc168322314"/>
      <w:bookmarkStart w:id="383" w:name="_Toc168322453"/>
      <w:bookmarkStart w:id="384" w:name="_Toc168330782"/>
      <w:bookmarkStart w:id="385" w:name="_Toc168331585"/>
      <w:bookmarkStart w:id="386" w:name="_Toc168331724"/>
      <w:bookmarkStart w:id="387" w:name="_Toc168322176"/>
      <w:bookmarkStart w:id="388" w:name="_Toc168322315"/>
      <w:bookmarkStart w:id="389" w:name="_Toc168322454"/>
      <w:bookmarkStart w:id="390" w:name="_Toc168330783"/>
      <w:bookmarkStart w:id="391" w:name="_Toc168331586"/>
      <w:bookmarkStart w:id="392" w:name="_Toc168331725"/>
      <w:bookmarkStart w:id="393" w:name="_Toc168322177"/>
      <w:bookmarkStart w:id="394" w:name="_Toc168322316"/>
      <w:bookmarkStart w:id="395" w:name="_Toc168322455"/>
      <w:bookmarkStart w:id="396" w:name="_Toc168330784"/>
      <w:bookmarkStart w:id="397" w:name="_Toc168331587"/>
      <w:bookmarkStart w:id="398" w:name="_Toc168331726"/>
      <w:bookmarkStart w:id="399" w:name="_Toc168322178"/>
      <w:bookmarkStart w:id="400" w:name="_Toc168322317"/>
      <w:bookmarkStart w:id="401" w:name="_Toc168322456"/>
      <w:bookmarkStart w:id="402" w:name="_Toc168330785"/>
      <w:bookmarkStart w:id="403" w:name="_Toc168331588"/>
      <w:bookmarkStart w:id="404" w:name="_Toc168331727"/>
      <w:bookmarkStart w:id="405" w:name="_Toc168322179"/>
      <w:bookmarkStart w:id="406" w:name="_Toc168322318"/>
      <w:bookmarkStart w:id="407" w:name="_Toc168322457"/>
      <w:bookmarkStart w:id="408" w:name="_Toc168330786"/>
      <w:bookmarkStart w:id="409" w:name="_Toc168331589"/>
      <w:bookmarkStart w:id="410" w:name="_Toc168331728"/>
      <w:bookmarkStart w:id="411" w:name="_Toc201575418"/>
      <w:bookmarkStart w:id="412" w:name="_Hlk51259298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C62D72">
        <w:rPr>
          <w:lang w:val="en-GB"/>
        </w:rPr>
        <w:lastRenderedPageBreak/>
        <w:t>Liquidity &amp; Funding Risk</w:t>
      </w:r>
      <w:bookmarkEnd w:id="411"/>
    </w:p>
    <w:p w14:paraId="7F6C403B" w14:textId="77777777" w:rsidR="00D51F2C" w:rsidRPr="00CD11DE" w:rsidRDefault="00D51F2C" w:rsidP="00D51F2C">
      <w:pPr>
        <w:rPr>
          <w:sz w:val="20"/>
          <w:szCs w:val="20"/>
        </w:rPr>
      </w:pPr>
      <w:bookmarkStart w:id="413" w:name="_Toc473734889"/>
      <w:bookmarkStart w:id="414" w:name="_Toc474231665"/>
      <w:bookmarkStart w:id="415" w:name="_Toc474926323"/>
      <w:r w:rsidRPr="00CD11DE">
        <w:rPr>
          <w:sz w:val="20"/>
          <w:szCs w:val="20"/>
        </w:rPr>
        <w:t>Liquidity &amp; Funding risk is defined by the Bank as the loss arising from an inability to meet liquidity obligations as they become due, from an unstable funding profile or from a lack of availability of funds. The Bank’s business model and balance sheet requires long-term assets to be funded by contractually shorter-term liabilities, creating a risk of not meeting liabilities as they fall due, should significant liability outflows occur.</w:t>
      </w:r>
    </w:p>
    <w:p w14:paraId="7DA488D9" w14:textId="76E912FD" w:rsidR="00E04F85" w:rsidRPr="00CD11DE" w:rsidRDefault="00D51F2C" w:rsidP="00D51F2C">
      <w:pPr>
        <w:rPr>
          <w:sz w:val="20"/>
          <w:szCs w:val="20"/>
        </w:rPr>
      </w:pPr>
      <w:r w:rsidRPr="00CD11DE">
        <w:rPr>
          <w:sz w:val="20"/>
          <w:szCs w:val="20"/>
        </w:rPr>
        <w:t>The Board has established the Bank’s Treasury Policy, and associated limits, with the intention of achieving the following objectives</w:t>
      </w:r>
      <w:r w:rsidR="00E04F85" w:rsidRPr="00CD11DE">
        <w:rPr>
          <w:sz w:val="20"/>
          <w:szCs w:val="20"/>
        </w:rPr>
        <w:t>:</w:t>
      </w:r>
    </w:p>
    <w:p w14:paraId="2C22DC2D" w14:textId="77777777" w:rsidR="00E04F85" w:rsidRPr="00CD11DE" w:rsidRDefault="00E04F85" w:rsidP="007A4E0B">
      <w:pPr>
        <w:numPr>
          <w:ilvl w:val="0"/>
          <w:numId w:val="7"/>
        </w:numPr>
        <w:rPr>
          <w:sz w:val="20"/>
          <w:szCs w:val="20"/>
        </w:rPr>
      </w:pPr>
      <w:r w:rsidRPr="00CD11DE">
        <w:rPr>
          <w:sz w:val="20"/>
          <w:szCs w:val="20"/>
        </w:rPr>
        <w:t>To operate within the Bank’s Liquidity and Funding Risk appetite.</w:t>
      </w:r>
    </w:p>
    <w:p w14:paraId="50658130" w14:textId="77777777" w:rsidR="00E04F85" w:rsidRPr="00CD11DE" w:rsidRDefault="00E04F85" w:rsidP="007A4E0B">
      <w:pPr>
        <w:numPr>
          <w:ilvl w:val="0"/>
          <w:numId w:val="7"/>
        </w:numPr>
        <w:rPr>
          <w:sz w:val="20"/>
          <w:szCs w:val="20"/>
        </w:rPr>
      </w:pPr>
      <w:r w:rsidRPr="00CD11DE">
        <w:rPr>
          <w:sz w:val="20"/>
          <w:szCs w:val="20"/>
        </w:rPr>
        <w:t>To meet obligations as they fall due.</w:t>
      </w:r>
    </w:p>
    <w:p w14:paraId="6119FC48" w14:textId="77777777" w:rsidR="00E04F85" w:rsidRPr="00CD11DE" w:rsidRDefault="00E04F85" w:rsidP="007A4E0B">
      <w:pPr>
        <w:numPr>
          <w:ilvl w:val="0"/>
          <w:numId w:val="7"/>
        </w:numPr>
        <w:rPr>
          <w:sz w:val="20"/>
          <w:szCs w:val="20"/>
        </w:rPr>
      </w:pPr>
      <w:r w:rsidRPr="00CD11DE">
        <w:rPr>
          <w:sz w:val="20"/>
          <w:szCs w:val="20"/>
        </w:rPr>
        <w:t>To manage and control the impact of maturity mismatches.</w:t>
      </w:r>
    </w:p>
    <w:p w14:paraId="3CF03AEF" w14:textId="4521E15B" w:rsidR="00E04F85" w:rsidRPr="00CD11DE" w:rsidRDefault="00FD574F" w:rsidP="00E04F85">
      <w:pPr>
        <w:rPr>
          <w:sz w:val="20"/>
          <w:szCs w:val="20"/>
        </w:rPr>
      </w:pPr>
      <w:r w:rsidRPr="00CD11DE">
        <w:rPr>
          <w:sz w:val="20"/>
          <w:szCs w:val="20"/>
        </w:rPr>
        <w:t>The Bank’s risk appetite for liquidity and funding</w:t>
      </w:r>
      <w:r w:rsidR="00375BE6" w:rsidRPr="00CD11DE">
        <w:rPr>
          <w:sz w:val="20"/>
          <w:szCs w:val="20"/>
        </w:rPr>
        <w:t xml:space="preserve"> risk is to ensure</w:t>
      </w:r>
      <w:r w:rsidRPr="00CD11DE">
        <w:rPr>
          <w:sz w:val="20"/>
          <w:szCs w:val="20"/>
        </w:rPr>
        <w:t xml:space="preserve"> </w:t>
      </w:r>
      <w:r w:rsidR="00345E33" w:rsidRPr="00CD11DE">
        <w:rPr>
          <w:sz w:val="20"/>
          <w:szCs w:val="20"/>
        </w:rPr>
        <w:t>that we</w:t>
      </w:r>
      <w:r w:rsidRPr="00CD11DE">
        <w:rPr>
          <w:sz w:val="20"/>
          <w:szCs w:val="20"/>
        </w:rPr>
        <w:t xml:space="preserve"> maintain prudent levels of liquidity which are more than sufficient to meet the Bank's obligations as they fall due, including forecast requirements and manage the overall funding mix to ensure stability on an ongoing basis.</w:t>
      </w:r>
    </w:p>
    <w:p w14:paraId="5F3A2A47" w14:textId="77777777" w:rsidR="00E04F85" w:rsidRPr="00CD11DE" w:rsidRDefault="00E04F85" w:rsidP="00E04F85">
      <w:pPr>
        <w:rPr>
          <w:b/>
          <w:bCs/>
          <w:sz w:val="20"/>
          <w:szCs w:val="20"/>
        </w:rPr>
      </w:pPr>
      <w:r w:rsidRPr="00CD11DE">
        <w:rPr>
          <w:b/>
          <w:bCs/>
          <w:sz w:val="20"/>
          <w:szCs w:val="20"/>
        </w:rPr>
        <w:t xml:space="preserve">Assessment </w:t>
      </w:r>
    </w:p>
    <w:bookmarkEnd w:id="412"/>
    <w:bookmarkEnd w:id="413"/>
    <w:bookmarkEnd w:id="414"/>
    <w:bookmarkEnd w:id="415"/>
    <w:p w14:paraId="6867F580" w14:textId="77777777" w:rsidR="00D51F2C" w:rsidRPr="00CD11DE" w:rsidRDefault="00D51F2C" w:rsidP="00D51F2C">
      <w:pPr>
        <w:rPr>
          <w:sz w:val="20"/>
          <w:szCs w:val="20"/>
        </w:rPr>
      </w:pPr>
      <w:r w:rsidRPr="00CD11DE">
        <w:rPr>
          <w:sz w:val="20"/>
          <w:szCs w:val="20"/>
        </w:rPr>
        <w:t>The Bank’s ILAAP sets out how it manages liquidity risk and the appropriate amount of liquidity the Bank should hold. The ILAAP is an integral part of the liquidity risk management framework and is updated at least annually, and more frequently if there are significant changes to business profile, business plan or operating environment.</w:t>
      </w:r>
    </w:p>
    <w:p w14:paraId="77420E6E" w14:textId="77777777" w:rsidR="00D51F2C" w:rsidRPr="00CD11DE" w:rsidRDefault="00D51F2C" w:rsidP="00D51F2C">
      <w:pPr>
        <w:rPr>
          <w:sz w:val="20"/>
          <w:szCs w:val="20"/>
        </w:rPr>
      </w:pPr>
      <w:r w:rsidRPr="00CD11DE">
        <w:rPr>
          <w:sz w:val="20"/>
          <w:szCs w:val="20"/>
        </w:rPr>
        <w:t xml:space="preserve">As part of the ILAAP, the Bank maintains a High Quality Liquid Asset (‘HQLA’) buffer consisting of the Level 1 assets (Central government and Multilateral development Assets) and Level 2A assets (Public sector assets). In the event of a liquidity crisis these assets could be liquidated via outright sale, and management recognise that a haircut may be experienced on liquidation of the assets, particularly the Level 2A assets. </w:t>
      </w:r>
    </w:p>
    <w:p w14:paraId="2E1D0FA3" w14:textId="5F8BD6E7" w:rsidR="0038103E" w:rsidRPr="00CD11DE" w:rsidRDefault="00D51F2C" w:rsidP="00D51F2C">
      <w:pPr>
        <w:rPr>
          <w:sz w:val="20"/>
          <w:szCs w:val="20"/>
        </w:rPr>
      </w:pPr>
      <w:r w:rsidRPr="00CD11DE">
        <w:rPr>
          <w:sz w:val="20"/>
          <w:szCs w:val="20"/>
        </w:rPr>
        <w:t xml:space="preserve">The Bank’s HQLA portfolio, which is analysed (post haircut) at 31 December </w:t>
      </w:r>
      <w:r w:rsidR="0023087C">
        <w:rPr>
          <w:sz w:val="20"/>
          <w:szCs w:val="20"/>
        </w:rPr>
        <w:t>2024</w:t>
      </w:r>
      <w:r w:rsidRPr="00CD11DE">
        <w:rPr>
          <w:sz w:val="20"/>
          <w:szCs w:val="20"/>
        </w:rPr>
        <w:t xml:space="preserve"> and at 31 December </w:t>
      </w:r>
      <w:r w:rsidR="0023087C">
        <w:rPr>
          <w:sz w:val="20"/>
          <w:szCs w:val="20"/>
        </w:rPr>
        <w:t>2023</w:t>
      </w:r>
      <w:r w:rsidRPr="00CD11DE">
        <w:rPr>
          <w:sz w:val="20"/>
          <w:szCs w:val="20"/>
        </w:rPr>
        <w:t xml:space="preserve"> as follows</w:t>
      </w:r>
      <w:r w:rsidR="007D278C" w:rsidRPr="00CD11DE">
        <w:rPr>
          <w:sz w:val="20"/>
          <w:szCs w:val="20"/>
        </w:rPr>
        <w:t>:</w:t>
      </w:r>
    </w:p>
    <w:p w14:paraId="2BEDB45C" w14:textId="77777777" w:rsidR="0038103E" w:rsidRPr="00CD11DE" w:rsidRDefault="0038103E" w:rsidP="0038103E">
      <w:pPr>
        <w:rPr>
          <w:sz w:val="20"/>
          <w:szCs w:val="20"/>
        </w:rPr>
      </w:pPr>
    </w:p>
    <w:p w14:paraId="474CD0B6" w14:textId="2CD51B5D" w:rsidR="00E04F85" w:rsidRPr="00CD11DE" w:rsidRDefault="00E04F85"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20</w:t>
      </w:r>
      <w:r w:rsidRPr="00CD11DE">
        <w:fldChar w:fldCharType="end"/>
      </w:r>
      <w:r w:rsidRPr="00CD11DE">
        <w:t>: HQLA portfolio</w:t>
      </w:r>
    </w:p>
    <w:tbl>
      <w:tblPr>
        <w:tblW w:w="5000" w:type="pct"/>
        <w:tblLook w:val="04A0" w:firstRow="1" w:lastRow="0" w:firstColumn="1" w:lastColumn="0" w:noHBand="0" w:noVBand="1"/>
      </w:tblPr>
      <w:tblGrid>
        <w:gridCol w:w="3983"/>
        <w:gridCol w:w="2522"/>
        <w:gridCol w:w="2522"/>
      </w:tblGrid>
      <w:tr w:rsidR="0038103E" w:rsidRPr="00CD11DE" w14:paraId="223B9F27" w14:textId="77777777" w:rsidTr="006F3279">
        <w:trPr>
          <w:trHeight w:val="445"/>
        </w:trPr>
        <w:tc>
          <w:tcPr>
            <w:tcW w:w="2206" w:type="pct"/>
            <w:tcBorders>
              <w:top w:val="nil"/>
              <w:left w:val="nil"/>
              <w:bottom w:val="nil"/>
              <w:right w:val="nil"/>
            </w:tcBorders>
            <w:shd w:val="clear" w:color="auto" w:fill="auto"/>
            <w:noWrap/>
            <w:vAlign w:val="bottom"/>
            <w:hideMark/>
          </w:tcPr>
          <w:p w14:paraId="2F62882D" w14:textId="77777777" w:rsidR="0038103E" w:rsidRPr="00CD11DE" w:rsidRDefault="0038103E" w:rsidP="00FC6794">
            <w:pPr>
              <w:keepLines w:val="0"/>
              <w:spacing w:after="0" w:line="240" w:lineRule="auto"/>
              <w:jc w:val="left"/>
              <w:rPr>
                <w:rFonts w:ascii="Times New Roman" w:eastAsia="Times New Roman" w:hAnsi="Times New Roman" w:cs="Times New Roman"/>
                <w:color w:val="auto"/>
                <w:sz w:val="18"/>
                <w:szCs w:val="18"/>
              </w:rPr>
            </w:pPr>
          </w:p>
        </w:tc>
        <w:tc>
          <w:tcPr>
            <w:tcW w:w="1397" w:type="pct"/>
            <w:tcBorders>
              <w:top w:val="single" w:sz="8" w:space="0" w:color="FFFFFF"/>
              <w:left w:val="nil"/>
              <w:bottom w:val="nil"/>
              <w:right w:val="single" w:sz="8" w:space="0" w:color="FFFFFF"/>
            </w:tcBorders>
            <w:shd w:val="clear" w:color="auto" w:fill="06B1D6" w:themeFill="accent1"/>
            <w:vAlign w:val="center"/>
            <w:hideMark/>
          </w:tcPr>
          <w:p w14:paraId="720EFE76" w14:textId="7CDF7899" w:rsidR="0038103E" w:rsidRPr="00CD11DE" w:rsidRDefault="0038103E"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31 December </w:t>
            </w:r>
            <w:r w:rsidR="0023087C">
              <w:rPr>
                <w:rFonts w:eastAsia="Times New Roman"/>
                <w:b/>
                <w:bCs/>
                <w:color w:val="FFFFFF"/>
                <w:sz w:val="18"/>
                <w:szCs w:val="18"/>
              </w:rPr>
              <w:t>2024</w:t>
            </w:r>
            <w:r w:rsidRPr="00CD11DE">
              <w:rPr>
                <w:rFonts w:eastAsia="Times New Roman"/>
                <w:b/>
                <w:bCs/>
                <w:color w:val="FFFFFF"/>
                <w:sz w:val="18"/>
                <w:szCs w:val="18"/>
              </w:rPr>
              <w:br/>
              <w:t>(£m)</w:t>
            </w:r>
          </w:p>
        </w:tc>
        <w:tc>
          <w:tcPr>
            <w:tcW w:w="1397" w:type="pct"/>
            <w:tcBorders>
              <w:top w:val="single" w:sz="8" w:space="0" w:color="FFFFFF"/>
              <w:left w:val="nil"/>
              <w:bottom w:val="nil"/>
              <w:right w:val="single" w:sz="8" w:space="0" w:color="FFFFFF"/>
            </w:tcBorders>
            <w:shd w:val="clear" w:color="auto" w:fill="06B1D6" w:themeFill="accent1"/>
            <w:vAlign w:val="center"/>
            <w:hideMark/>
          </w:tcPr>
          <w:p w14:paraId="4444E615" w14:textId="77C6E13E" w:rsidR="0038103E" w:rsidRPr="00CD11DE" w:rsidRDefault="0038103E"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31 December </w:t>
            </w:r>
            <w:r w:rsidR="0023087C">
              <w:rPr>
                <w:rFonts w:eastAsia="Times New Roman"/>
                <w:b/>
                <w:bCs/>
                <w:color w:val="FFFFFF"/>
                <w:sz w:val="18"/>
                <w:szCs w:val="18"/>
              </w:rPr>
              <w:t>2023</w:t>
            </w:r>
            <w:r w:rsidRPr="00CD11DE">
              <w:rPr>
                <w:rFonts w:eastAsia="Times New Roman"/>
                <w:b/>
                <w:bCs/>
                <w:color w:val="FFFFFF"/>
                <w:sz w:val="18"/>
                <w:szCs w:val="18"/>
              </w:rPr>
              <w:br/>
              <w:t>(£m)</w:t>
            </w:r>
          </w:p>
        </w:tc>
      </w:tr>
      <w:tr w:rsidR="00173B0E" w:rsidRPr="00CD11DE" w14:paraId="38FD078D" w14:textId="77777777" w:rsidTr="006F3279">
        <w:trPr>
          <w:trHeight w:val="261"/>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tcPr>
          <w:p w14:paraId="75C0FD2A" w14:textId="2BD54A94" w:rsidR="00173B0E" w:rsidRPr="00CD11DE" w:rsidRDefault="00173B0E" w:rsidP="00173B0E">
            <w:pPr>
              <w:keepLines w:val="0"/>
              <w:spacing w:after="0" w:line="240" w:lineRule="auto"/>
              <w:jc w:val="left"/>
              <w:rPr>
                <w:rFonts w:eastAsia="Times New Roman"/>
                <w:b/>
                <w:bCs/>
                <w:color w:val="FFFFFF" w:themeColor="background1"/>
                <w:sz w:val="18"/>
                <w:szCs w:val="18"/>
              </w:rPr>
            </w:pPr>
            <w:r w:rsidRPr="00CD11DE">
              <w:rPr>
                <w:rFonts w:eastAsia="Times New Roman"/>
                <w:b/>
                <w:bCs/>
                <w:color w:val="FFFFFF" w:themeColor="background1"/>
                <w:sz w:val="18"/>
                <w:szCs w:val="18"/>
              </w:rPr>
              <w:t>Central Bank Reserve Account</w:t>
            </w:r>
          </w:p>
        </w:tc>
        <w:tc>
          <w:tcPr>
            <w:tcW w:w="1397" w:type="pct"/>
            <w:tcBorders>
              <w:top w:val="nil"/>
              <w:left w:val="nil"/>
              <w:bottom w:val="single" w:sz="8" w:space="0" w:color="BFBFBF"/>
              <w:right w:val="single" w:sz="8" w:space="0" w:color="BFBFBF"/>
            </w:tcBorders>
            <w:shd w:val="clear" w:color="auto" w:fill="auto"/>
          </w:tcPr>
          <w:p w14:paraId="07BD1FB5" w14:textId="5B7CD22E" w:rsidR="00173B0E" w:rsidRPr="00173B0E" w:rsidRDefault="00173B0E" w:rsidP="00173B0E">
            <w:pPr>
              <w:keepLines w:val="0"/>
              <w:spacing w:after="0" w:line="240" w:lineRule="auto"/>
              <w:jc w:val="right"/>
              <w:rPr>
                <w:sz w:val="18"/>
                <w:szCs w:val="18"/>
              </w:rPr>
            </w:pPr>
            <w:r w:rsidRPr="007E0530">
              <w:rPr>
                <w:sz w:val="18"/>
                <w:szCs w:val="18"/>
              </w:rPr>
              <w:t>9</w:t>
            </w:r>
            <w:r w:rsidR="00CC24BE">
              <w:rPr>
                <w:sz w:val="18"/>
                <w:szCs w:val="18"/>
              </w:rPr>
              <w:t>2.9</w:t>
            </w:r>
          </w:p>
        </w:tc>
        <w:tc>
          <w:tcPr>
            <w:tcW w:w="1397" w:type="pct"/>
            <w:tcBorders>
              <w:top w:val="nil"/>
              <w:left w:val="nil"/>
              <w:bottom w:val="single" w:sz="8" w:space="0" w:color="BFBFBF"/>
              <w:right w:val="single" w:sz="8" w:space="0" w:color="BFBFBF"/>
            </w:tcBorders>
            <w:shd w:val="clear" w:color="auto" w:fill="auto"/>
            <w:vAlign w:val="center"/>
          </w:tcPr>
          <w:p w14:paraId="7D762882" w14:textId="5E9803C1" w:rsidR="00173B0E" w:rsidRPr="00CD11DE" w:rsidRDefault="00173B0E" w:rsidP="00173B0E">
            <w:pPr>
              <w:keepLines w:val="0"/>
              <w:spacing w:after="0" w:line="240" w:lineRule="auto"/>
              <w:jc w:val="right"/>
              <w:rPr>
                <w:rFonts w:eastAsia="Times New Roman"/>
                <w:sz w:val="18"/>
                <w:szCs w:val="18"/>
              </w:rPr>
            </w:pPr>
            <w:r w:rsidRPr="00CD11DE">
              <w:rPr>
                <w:sz w:val="18"/>
                <w:szCs w:val="18"/>
              </w:rPr>
              <w:t>94.1</w:t>
            </w:r>
          </w:p>
        </w:tc>
      </w:tr>
      <w:tr w:rsidR="00173B0E" w:rsidRPr="00CD11DE" w14:paraId="5024A0C0" w14:textId="77777777" w:rsidTr="006F3279">
        <w:trPr>
          <w:trHeight w:val="261"/>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645567BE"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themeColor="background1"/>
                <w:sz w:val="18"/>
                <w:szCs w:val="18"/>
              </w:rPr>
              <w:t>Central governments</w:t>
            </w:r>
          </w:p>
        </w:tc>
        <w:tc>
          <w:tcPr>
            <w:tcW w:w="1397" w:type="pct"/>
            <w:tcBorders>
              <w:top w:val="nil"/>
              <w:left w:val="nil"/>
              <w:bottom w:val="single" w:sz="8" w:space="0" w:color="BFBFBF"/>
              <w:right w:val="single" w:sz="8" w:space="0" w:color="BFBFBF"/>
            </w:tcBorders>
            <w:shd w:val="clear" w:color="auto" w:fill="auto"/>
          </w:tcPr>
          <w:p w14:paraId="3B79D64A" w14:textId="6A1BE394" w:rsidR="00173B0E" w:rsidRPr="00173B0E" w:rsidRDefault="00173B0E" w:rsidP="00173B0E">
            <w:pPr>
              <w:keepLines w:val="0"/>
              <w:spacing w:after="0" w:line="240" w:lineRule="auto"/>
              <w:jc w:val="right"/>
              <w:rPr>
                <w:sz w:val="18"/>
                <w:szCs w:val="18"/>
              </w:rPr>
            </w:pPr>
            <w:r w:rsidRPr="007E0530">
              <w:rPr>
                <w:sz w:val="18"/>
                <w:szCs w:val="18"/>
              </w:rPr>
              <w:t>9</w:t>
            </w:r>
            <w:r w:rsidR="00B721BA">
              <w:rPr>
                <w:sz w:val="18"/>
                <w:szCs w:val="18"/>
              </w:rPr>
              <w:t>5.9</w:t>
            </w:r>
          </w:p>
        </w:tc>
        <w:tc>
          <w:tcPr>
            <w:tcW w:w="1397" w:type="pct"/>
            <w:tcBorders>
              <w:top w:val="nil"/>
              <w:left w:val="nil"/>
              <w:bottom w:val="single" w:sz="8" w:space="0" w:color="BFBFBF"/>
              <w:right w:val="single" w:sz="8" w:space="0" w:color="BFBFBF"/>
            </w:tcBorders>
            <w:shd w:val="clear" w:color="auto" w:fill="auto"/>
            <w:vAlign w:val="center"/>
            <w:hideMark/>
          </w:tcPr>
          <w:p w14:paraId="4C1EAECC" w14:textId="4AF68160" w:rsidR="00173B0E" w:rsidRPr="00CD11DE" w:rsidRDefault="00173B0E" w:rsidP="00173B0E">
            <w:pPr>
              <w:keepLines w:val="0"/>
              <w:spacing w:after="0" w:line="240" w:lineRule="auto"/>
              <w:jc w:val="right"/>
              <w:rPr>
                <w:rFonts w:eastAsia="Times New Roman"/>
                <w:sz w:val="18"/>
                <w:szCs w:val="18"/>
              </w:rPr>
            </w:pPr>
            <w:r w:rsidRPr="00CD11DE">
              <w:rPr>
                <w:sz w:val="18"/>
                <w:szCs w:val="18"/>
              </w:rPr>
              <w:t>96.4</w:t>
            </w:r>
          </w:p>
        </w:tc>
      </w:tr>
      <w:tr w:rsidR="00173B0E" w:rsidRPr="00CD11DE" w14:paraId="6137D52E" w14:textId="77777777" w:rsidTr="006F3279">
        <w:trPr>
          <w:trHeight w:val="261"/>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2837BB05"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themeColor="background1"/>
                <w:sz w:val="18"/>
                <w:szCs w:val="18"/>
              </w:rPr>
              <w:t>Regional governments and central banks</w:t>
            </w:r>
          </w:p>
        </w:tc>
        <w:tc>
          <w:tcPr>
            <w:tcW w:w="1397" w:type="pct"/>
            <w:tcBorders>
              <w:top w:val="nil"/>
              <w:left w:val="nil"/>
              <w:bottom w:val="single" w:sz="8" w:space="0" w:color="BFBFBF"/>
              <w:right w:val="single" w:sz="8" w:space="0" w:color="BFBFBF"/>
            </w:tcBorders>
            <w:shd w:val="clear" w:color="auto" w:fill="auto"/>
          </w:tcPr>
          <w:p w14:paraId="7D0E7D6A" w14:textId="6DCE2D31" w:rsidR="00173B0E" w:rsidRPr="00173B0E" w:rsidRDefault="00173B0E" w:rsidP="00173B0E">
            <w:pPr>
              <w:keepLines w:val="0"/>
              <w:spacing w:after="0" w:line="240" w:lineRule="auto"/>
              <w:jc w:val="right"/>
              <w:rPr>
                <w:sz w:val="18"/>
                <w:szCs w:val="18"/>
              </w:rPr>
            </w:pPr>
            <w:r w:rsidRPr="007E0530">
              <w:rPr>
                <w:sz w:val="18"/>
                <w:szCs w:val="18"/>
              </w:rPr>
              <w:t>7.2</w:t>
            </w:r>
          </w:p>
        </w:tc>
        <w:tc>
          <w:tcPr>
            <w:tcW w:w="1397" w:type="pct"/>
            <w:tcBorders>
              <w:top w:val="nil"/>
              <w:left w:val="nil"/>
              <w:bottom w:val="single" w:sz="8" w:space="0" w:color="BFBFBF"/>
              <w:right w:val="single" w:sz="8" w:space="0" w:color="BFBFBF"/>
            </w:tcBorders>
            <w:shd w:val="clear" w:color="auto" w:fill="auto"/>
            <w:vAlign w:val="center"/>
            <w:hideMark/>
          </w:tcPr>
          <w:p w14:paraId="2FEE3A1A" w14:textId="19A8B188" w:rsidR="00173B0E" w:rsidRPr="00CD11DE" w:rsidRDefault="00173B0E" w:rsidP="00173B0E">
            <w:pPr>
              <w:keepLines w:val="0"/>
              <w:spacing w:after="0" w:line="240" w:lineRule="auto"/>
              <w:jc w:val="right"/>
              <w:rPr>
                <w:rFonts w:eastAsia="Times New Roman"/>
                <w:sz w:val="18"/>
                <w:szCs w:val="18"/>
              </w:rPr>
            </w:pPr>
            <w:r w:rsidRPr="00CD11DE">
              <w:rPr>
                <w:sz w:val="18"/>
                <w:szCs w:val="18"/>
              </w:rPr>
              <w:t>0.7</w:t>
            </w:r>
          </w:p>
        </w:tc>
      </w:tr>
      <w:tr w:rsidR="00173B0E" w:rsidRPr="00CD11DE" w14:paraId="7266497B" w14:textId="77777777" w:rsidTr="006F3279">
        <w:trPr>
          <w:trHeight w:val="261"/>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35FA2878" w14:textId="77AF644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themeColor="background1"/>
                <w:sz w:val="18"/>
                <w:szCs w:val="18"/>
              </w:rPr>
              <w:t>Multi</w:t>
            </w:r>
            <w:r w:rsidR="00B721BA">
              <w:rPr>
                <w:rFonts w:eastAsia="Times New Roman"/>
                <w:b/>
                <w:bCs/>
                <w:color w:val="FFFFFF" w:themeColor="background1"/>
                <w:sz w:val="18"/>
                <w:szCs w:val="18"/>
              </w:rPr>
              <w:t>lateral</w:t>
            </w:r>
            <w:r w:rsidRPr="00CD11DE">
              <w:rPr>
                <w:rFonts w:eastAsia="Times New Roman"/>
                <w:b/>
                <w:bCs/>
                <w:color w:val="FFFFFF" w:themeColor="background1"/>
                <w:sz w:val="18"/>
                <w:szCs w:val="18"/>
              </w:rPr>
              <w:t xml:space="preserve"> development banks</w:t>
            </w:r>
          </w:p>
        </w:tc>
        <w:tc>
          <w:tcPr>
            <w:tcW w:w="1397" w:type="pct"/>
            <w:tcBorders>
              <w:top w:val="nil"/>
              <w:left w:val="nil"/>
              <w:bottom w:val="single" w:sz="8" w:space="0" w:color="BFBFBF"/>
              <w:right w:val="single" w:sz="8" w:space="0" w:color="BFBFBF"/>
            </w:tcBorders>
            <w:shd w:val="clear" w:color="auto" w:fill="auto"/>
          </w:tcPr>
          <w:p w14:paraId="58EF4681" w14:textId="04377DF9" w:rsidR="00173B0E" w:rsidRPr="00173B0E" w:rsidRDefault="00173B0E" w:rsidP="00173B0E">
            <w:pPr>
              <w:keepLines w:val="0"/>
              <w:spacing w:after="0" w:line="240" w:lineRule="auto"/>
              <w:jc w:val="right"/>
              <w:rPr>
                <w:sz w:val="18"/>
                <w:szCs w:val="18"/>
              </w:rPr>
            </w:pPr>
            <w:r w:rsidRPr="007E0530">
              <w:rPr>
                <w:sz w:val="18"/>
                <w:szCs w:val="18"/>
              </w:rPr>
              <w:t>36.</w:t>
            </w:r>
            <w:r w:rsidR="00CC24BE">
              <w:rPr>
                <w:sz w:val="18"/>
                <w:szCs w:val="18"/>
              </w:rPr>
              <w:t>6</w:t>
            </w:r>
          </w:p>
        </w:tc>
        <w:tc>
          <w:tcPr>
            <w:tcW w:w="1397" w:type="pct"/>
            <w:tcBorders>
              <w:top w:val="nil"/>
              <w:left w:val="nil"/>
              <w:bottom w:val="single" w:sz="8" w:space="0" w:color="BFBFBF"/>
              <w:right w:val="single" w:sz="8" w:space="0" w:color="BFBFBF"/>
            </w:tcBorders>
            <w:shd w:val="clear" w:color="auto" w:fill="auto"/>
            <w:vAlign w:val="center"/>
            <w:hideMark/>
          </w:tcPr>
          <w:p w14:paraId="6E70A491" w14:textId="5FE87B3E" w:rsidR="00173B0E" w:rsidRPr="00CD11DE" w:rsidRDefault="00173B0E" w:rsidP="00173B0E">
            <w:pPr>
              <w:keepLines w:val="0"/>
              <w:spacing w:after="0" w:line="240" w:lineRule="auto"/>
              <w:jc w:val="right"/>
              <w:rPr>
                <w:rFonts w:eastAsia="Times New Roman"/>
                <w:sz w:val="18"/>
                <w:szCs w:val="18"/>
              </w:rPr>
            </w:pPr>
            <w:r w:rsidRPr="00CD11DE">
              <w:rPr>
                <w:sz w:val="18"/>
                <w:szCs w:val="18"/>
              </w:rPr>
              <w:t>52.5</w:t>
            </w:r>
          </w:p>
        </w:tc>
      </w:tr>
      <w:tr w:rsidR="00173B0E" w:rsidRPr="00CD11DE" w14:paraId="288D6311" w14:textId="77777777" w:rsidTr="006F3279">
        <w:trPr>
          <w:trHeight w:val="261"/>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591DE8CC"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themeColor="background1"/>
                <w:sz w:val="18"/>
                <w:szCs w:val="18"/>
              </w:rPr>
              <w:t>Corporates</w:t>
            </w:r>
          </w:p>
        </w:tc>
        <w:tc>
          <w:tcPr>
            <w:tcW w:w="1397" w:type="pct"/>
            <w:tcBorders>
              <w:top w:val="nil"/>
              <w:left w:val="nil"/>
              <w:bottom w:val="single" w:sz="8" w:space="0" w:color="BFBFBF"/>
              <w:right w:val="single" w:sz="8" w:space="0" w:color="BFBFBF"/>
            </w:tcBorders>
            <w:shd w:val="clear" w:color="auto" w:fill="auto"/>
          </w:tcPr>
          <w:p w14:paraId="6B78B059" w14:textId="74CCE5CB" w:rsidR="00173B0E" w:rsidRPr="00173B0E" w:rsidRDefault="00173B0E" w:rsidP="00173B0E">
            <w:pPr>
              <w:keepLines w:val="0"/>
              <w:spacing w:after="0" w:line="240" w:lineRule="auto"/>
              <w:jc w:val="right"/>
              <w:rPr>
                <w:sz w:val="18"/>
                <w:szCs w:val="18"/>
              </w:rPr>
            </w:pPr>
            <w:r w:rsidRPr="007E0530">
              <w:rPr>
                <w:sz w:val="18"/>
                <w:szCs w:val="18"/>
              </w:rPr>
              <w:t>0.0</w:t>
            </w:r>
          </w:p>
        </w:tc>
        <w:tc>
          <w:tcPr>
            <w:tcW w:w="1397" w:type="pct"/>
            <w:tcBorders>
              <w:top w:val="nil"/>
              <w:left w:val="nil"/>
              <w:bottom w:val="single" w:sz="8" w:space="0" w:color="BFBFBF"/>
              <w:right w:val="single" w:sz="8" w:space="0" w:color="BFBFBF"/>
            </w:tcBorders>
            <w:shd w:val="clear" w:color="auto" w:fill="auto"/>
            <w:vAlign w:val="center"/>
            <w:hideMark/>
          </w:tcPr>
          <w:p w14:paraId="10124929" w14:textId="739888A4" w:rsidR="00173B0E" w:rsidRPr="00CD11DE" w:rsidRDefault="00173B0E" w:rsidP="00173B0E">
            <w:pPr>
              <w:keepLines w:val="0"/>
              <w:spacing w:after="0" w:line="240" w:lineRule="auto"/>
              <w:jc w:val="right"/>
              <w:rPr>
                <w:rFonts w:eastAsia="Times New Roman"/>
                <w:sz w:val="18"/>
                <w:szCs w:val="18"/>
              </w:rPr>
            </w:pPr>
            <w:r w:rsidRPr="00CD11DE">
              <w:rPr>
                <w:sz w:val="18"/>
                <w:szCs w:val="18"/>
              </w:rPr>
              <w:t>0.0</w:t>
            </w:r>
          </w:p>
        </w:tc>
      </w:tr>
      <w:tr w:rsidR="00173B0E" w:rsidRPr="00CD11DE" w14:paraId="576EB24D" w14:textId="77777777" w:rsidTr="006F3279">
        <w:trPr>
          <w:trHeight w:val="261"/>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531E4D5B"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themeColor="background1"/>
                <w:sz w:val="18"/>
                <w:szCs w:val="18"/>
              </w:rPr>
              <w:t>Cash</w:t>
            </w:r>
          </w:p>
        </w:tc>
        <w:tc>
          <w:tcPr>
            <w:tcW w:w="1397" w:type="pct"/>
            <w:tcBorders>
              <w:top w:val="nil"/>
              <w:left w:val="nil"/>
              <w:bottom w:val="single" w:sz="8" w:space="0" w:color="auto"/>
              <w:right w:val="single" w:sz="8" w:space="0" w:color="BFBFBF"/>
            </w:tcBorders>
            <w:shd w:val="clear" w:color="auto" w:fill="auto"/>
          </w:tcPr>
          <w:p w14:paraId="4C8A6F27" w14:textId="3DBEEAFF" w:rsidR="00173B0E" w:rsidRPr="00173B0E" w:rsidRDefault="00173B0E" w:rsidP="00173B0E">
            <w:pPr>
              <w:keepLines w:val="0"/>
              <w:spacing w:after="0" w:line="240" w:lineRule="auto"/>
              <w:jc w:val="right"/>
              <w:rPr>
                <w:sz w:val="18"/>
                <w:szCs w:val="18"/>
              </w:rPr>
            </w:pPr>
            <w:r w:rsidRPr="007E0530">
              <w:rPr>
                <w:sz w:val="18"/>
                <w:szCs w:val="18"/>
              </w:rPr>
              <w:t>1.1</w:t>
            </w:r>
          </w:p>
        </w:tc>
        <w:tc>
          <w:tcPr>
            <w:tcW w:w="1397" w:type="pct"/>
            <w:tcBorders>
              <w:top w:val="nil"/>
              <w:left w:val="nil"/>
              <w:bottom w:val="single" w:sz="8" w:space="0" w:color="auto"/>
              <w:right w:val="single" w:sz="8" w:space="0" w:color="BFBFBF"/>
            </w:tcBorders>
            <w:shd w:val="clear" w:color="auto" w:fill="auto"/>
            <w:vAlign w:val="center"/>
            <w:hideMark/>
          </w:tcPr>
          <w:p w14:paraId="75D715DD" w14:textId="604A165F" w:rsidR="00173B0E" w:rsidRPr="00CD11DE" w:rsidRDefault="00173B0E" w:rsidP="00173B0E">
            <w:pPr>
              <w:keepLines w:val="0"/>
              <w:spacing w:after="0" w:line="240" w:lineRule="auto"/>
              <w:jc w:val="right"/>
              <w:rPr>
                <w:rFonts w:eastAsia="Times New Roman"/>
                <w:sz w:val="18"/>
                <w:szCs w:val="18"/>
              </w:rPr>
            </w:pPr>
            <w:r w:rsidRPr="00CD11DE">
              <w:rPr>
                <w:sz w:val="18"/>
                <w:szCs w:val="18"/>
              </w:rPr>
              <w:t>1.0</w:t>
            </w:r>
          </w:p>
        </w:tc>
      </w:tr>
      <w:tr w:rsidR="00173B0E" w:rsidRPr="00CD11DE" w14:paraId="6BA22E01" w14:textId="77777777" w:rsidTr="006F3279">
        <w:trPr>
          <w:trHeight w:val="274"/>
        </w:trPr>
        <w:tc>
          <w:tcPr>
            <w:tcW w:w="2206"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4CBB06EB"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themeColor="background1"/>
                <w:sz w:val="18"/>
                <w:szCs w:val="18"/>
              </w:rPr>
              <w:t>Total</w:t>
            </w:r>
          </w:p>
        </w:tc>
        <w:tc>
          <w:tcPr>
            <w:tcW w:w="1397" w:type="pct"/>
            <w:tcBorders>
              <w:top w:val="single" w:sz="8" w:space="0" w:color="auto"/>
              <w:left w:val="nil"/>
              <w:bottom w:val="single" w:sz="8" w:space="0" w:color="auto"/>
              <w:right w:val="single" w:sz="8" w:space="0" w:color="BFBFBF"/>
            </w:tcBorders>
            <w:shd w:val="clear" w:color="auto" w:fill="auto"/>
          </w:tcPr>
          <w:p w14:paraId="3E054222" w14:textId="15491D45" w:rsidR="00173B0E" w:rsidRPr="00173B0E" w:rsidRDefault="00173B0E" w:rsidP="00173B0E">
            <w:pPr>
              <w:keepLines w:val="0"/>
              <w:spacing w:after="0" w:line="240" w:lineRule="auto"/>
              <w:jc w:val="right"/>
              <w:rPr>
                <w:b/>
                <w:bCs/>
                <w:sz w:val="18"/>
                <w:szCs w:val="18"/>
              </w:rPr>
            </w:pPr>
            <w:r w:rsidRPr="007E0530">
              <w:rPr>
                <w:b/>
                <w:bCs/>
                <w:sz w:val="18"/>
                <w:szCs w:val="18"/>
              </w:rPr>
              <w:t>233.7</w:t>
            </w:r>
          </w:p>
        </w:tc>
        <w:tc>
          <w:tcPr>
            <w:tcW w:w="1397" w:type="pct"/>
            <w:tcBorders>
              <w:top w:val="single" w:sz="8" w:space="0" w:color="auto"/>
              <w:left w:val="nil"/>
              <w:bottom w:val="single" w:sz="8" w:space="0" w:color="auto"/>
              <w:right w:val="single" w:sz="8" w:space="0" w:color="BFBFBF"/>
            </w:tcBorders>
            <w:shd w:val="clear" w:color="auto" w:fill="auto"/>
            <w:vAlign w:val="center"/>
            <w:hideMark/>
          </w:tcPr>
          <w:p w14:paraId="6AC6E73E" w14:textId="30F4A2FB" w:rsidR="00173B0E" w:rsidRPr="00CD11DE" w:rsidRDefault="00173B0E" w:rsidP="00173B0E">
            <w:pPr>
              <w:keepLines w:val="0"/>
              <w:spacing w:after="0" w:line="240" w:lineRule="auto"/>
              <w:jc w:val="right"/>
              <w:rPr>
                <w:rFonts w:eastAsia="Times New Roman"/>
                <w:b/>
                <w:bCs/>
                <w:sz w:val="18"/>
                <w:szCs w:val="18"/>
              </w:rPr>
            </w:pPr>
            <w:r w:rsidRPr="00CD11DE">
              <w:rPr>
                <w:b/>
                <w:bCs/>
                <w:sz w:val="18"/>
                <w:szCs w:val="18"/>
              </w:rPr>
              <w:t>244.7</w:t>
            </w:r>
          </w:p>
        </w:tc>
      </w:tr>
    </w:tbl>
    <w:p w14:paraId="5FF5F34B" w14:textId="79837A7B" w:rsidR="00D17885" w:rsidRPr="00CD11DE" w:rsidRDefault="00D17885" w:rsidP="00D17885">
      <w:pPr>
        <w:rPr>
          <w:sz w:val="16"/>
          <w:szCs w:val="20"/>
        </w:rPr>
      </w:pPr>
    </w:p>
    <w:p w14:paraId="68C36FD4" w14:textId="77777777" w:rsidR="00D51F2C" w:rsidRPr="00CD11DE" w:rsidRDefault="00D51F2C" w:rsidP="00D17885">
      <w:pPr>
        <w:rPr>
          <w:sz w:val="16"/>
          <w:szCs w:val="20"/>
        </w:rPr>
      </w:pPr>
    </w:p>
    <w:p w14:paraId="734C733F" w14:textId="77777777" w:rsidR="0038103E" w:rsidRPr="00C62D72" w:rsidRDefault="0038103E" w:rsidP="00D02827">
      <w:pPr>
        <w:pStyle w:val="Heading3"/>
        <w:rPr>
          <w:lang w:val="en-GB"/>
        </w:rPr>
      </w:pPr>
      <w:r w:rsidRPr="00C62D72">
        <w:rPr>
          <w:lang w:val="en-GB"/>
        </w:rPr>
        <w:lastRenderedPageBreak/>
        <w:t xml:space="preserve">Liquidity Ratios </w:t>
      </w:r>
    </w:p>
    <w:p w14:paraId="111DFE83" w14:textId="6EC490E3" w:rsidR="00203156" w:rsidRPr="00CD11DE" w:rsidRDefault="0038103E" w:rsidP="0038103E">
      <w:pPr>
        <w:rPr>
          <w:sz w:val="20"/>
          <w:szCs w:val="20"/>
        </w:rPr>
      </w:pPr>
      <w:r w:rsidRPr="00CD11DE">
        <w:rPr>
          <w:sz w:val="20"/>
          <w:szCs w:val="20"/>
        </w:rPr>
        <w:t>The CRR provides for two liquidity safeguards: the Liquidity Coverage Ratio (“LCR”) which aims to improve the resilience of banks to liquidity risks over a 30-day period</w:t>
      </w:r>
      <w:r w:rsidR="00D51F2C" w:rsidRPr="00CD11DE">
        <w:rPr>
          <w:sz w:val="20"/>
          <w:szCs w:val="20"/>
        </w:rPr>
        <w:t>.</w:t>
      </w:r>
      <w:r w:rsidRPr="00CD11DE">
        <w:rPr>
          <w:sz w:val="20"/>
          <w:szCs w:val="20"/>
        </w:rPr>
        <w:t xml:space="preserve"> </w:t>
      </w:r>
      <w:r w:rsidR="00D51F2C" w:rsidRPr="00CD11DE">
        <w:rPr>
          <w:sz w:val="20"/>
          <w:szCs w:val="20"/>
        </w:rPr>
        <w:t>T</w:t>
      </w:r>
      <w:r w:rsidRPr="00CD11DE">
        <w:rPr>
          <w:sz w:val="20"/>
          <w:szCs w:val="20"/>
        </w:rPr>
        <w:t xml:space="preserve">he Net Stable Funding Ratio (“NSFR”) which aims to ensure that banks have an acceptable amount of stable funding to support their assets over a one-year period of extended stress. </w:t>
      </w:r>
    </w:p>
    <w:p w14:paraId="0B2FC496" w14:textId="77777777" w:rsidR="0038103E" w:rsidRPr="00C62D72" w:rsidRDefault="0038103E" w:rsidP="00D02827">
      <w:pPr>
        <w:pStyle w:val="Heading3"/>
        <w:rPr>
          <w:lang w:val="en-GB"/>
        </w:rPr>
      </w:pPr>
      <w:r w:rsidRPr="00C62D72">
        <w:rPr>
          <w:lang w:val="en-GB"/>
        </w:rPr>
        <w:t xml:space="preserve">Liquidity Coverage Ratio </w:t>
      </w:r>
    </w:p>
    <w:p w14:paraId="1D81C916" w14:textId="77777777" w:rsidR="003F12AA" w:rsidRPr="00CD11DE" w:rsidRDefault="003F12AA" w:rsidP="003F12AA">
      <w:pPr>
        <w:rPr>
          <w:rFonts w:asciiTheme="minorHAnsi" w:eastAsiaTheme="minorHAnsi" w:hAnsiTheme="minorHAnsi" w:cstheme="minorBidi"/>
          <w:color w:val="auto"/>
          <w:sz w:val="20"/>
          <w:szCs w:val="20"/>
        </w:rPr>
      </w:pPr>
      <w:r w:rsidRPr="00CD11DE">
        <w:rPr>
          <w:sz w:val="20"/>
          <w:szCs w:val="20"/>
        </w:rPr>
        <w:t>The Bank’s approach to calculating its LCR in accordance with the provisions of the PRA Rulebook: CRR Firms: Liquidity (CRR), and PRA Rulebook: CRR Firms: Liquidity Coverage Ratio (CRR) (the “LCR Rules”, and together the “Liquidity Rules”) is explored in this section.</w:t>
      </w:r>
    </w:p>
    <w:p w14:paraId="170C1182" w14:textId="77777777" w:rsidR="003F12AA" w:rsidRPr="00CD11DE" w:rsidRDefault="003F12AA" w:rsidP="003F12AA">
      <w:pPr>
        <w:rPr>
          <w:rFonts w:cstheme="minorHAnsi"/>
          <w:sz w:val="20"/>
          <w:szCs w:val="20"/>
        </w:rPr>
      </w:pPr>
      <w:r w:rsidRPr="00CD11DE">
        <w:rPr>
          <w:rFonts w:cstheme="minorHAnsi"/>
          <w:sz w:val="20"/>
          <w:szCs w:val="20"/>
        </w:rPr>
        <w:t>The LCR Rules contains the following calculation for LCR:</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5719"/>
        <w:gridCol w:w="285"/>
      </w:tblGrid>
      <w:tr w:rsidR="003F12AA" w:rsidRPr="00CD11DE" w14:paraId="53429F05" w14:textId="77777777" w:rsidTr="002571D1">
        <w:tc>
          <w:tcPr>
            <w:tcW w:w="3116" w:type="dxa"/>
            <w:vMerge w:val="restart"/>
            <w:tcBorders>
              <w:top w:val="single" w:sz="4" w:space="0" w:color="00B0F0"/>
              <w:left w:val="single" w:sz="4" w:space="0" w:color="00B0F0"/>
              <w:bottom w:val="single" w:sz="4" w:space="0" w:color="C09200"/>
              <w:right w:val="nil"/>
            </w:tcBorders>
            <w:vAlign w:val="center"/>
            <w:hideMark/>
          </w:tcPr>
          <w:p w14:paraId="45086AC3" w14:textId="77777777" w:rsidR="003F12AA" w:rsidRPr="00CD11DE" w:rsidRDefault="003F12AA">
            <w:pPr>
              <w:spacing w:after="0" w:line="240" w:lineRule="auto"/>
              <w:jc w:val="center"/>
              <w:rPr>
                <w:rFonts w:cstheme="minorHAnsi"/>
                <w:sz w:val="20"/>
                <w:szCs w:val="20"/>
              </w:rPr>
            </w:pPr>
            <w:r w:rsidRPr="00CD11DE">
              <w:rPr>
                <w:rFonts w:cstheme="minorHAnsi"/>
                <w:sz w:val="20"/>
                <w:szCs w:val="20"/>
              </w:rPr>
              <w:t>Liquidity Coverage Ratio (%) =</w:t>
            </w:r>
          </w:p>
        </w:tc>
        <w:tc>
          <w:tcPr>
            <w:tcW w:w="5946" w:type="dxa"/>
            <w:tcBorders>
              <w:top w:val="single" w:sz="4" w:space="0" w:color="00B0F0"/>
              <w:left w:val="nil"/>
              <w:bottom w:val="single" w:sz="4" w:space="0" w:color="auto"/>
              <w:right w:val="nil"/>
            </w:tcBorders>
            <w:vAlign w:val="center"/>
            <w:hideMark/>
          </w:tcPr>
          <w:p w14:paraId="6EF4A011" w14:textId="77777777" w:rsidR="003F12AA" w:rsidRPr="00CD11DE" w:rsidRDefault="003F12AA">
            <w:pPr>
              <w:spacing w:after="0" w:line="240" w:lineRule="auto"/>
              <w:jc w:val="center"/>
              <w:rPr>
                <w:rFonts w:cstheme="minorHAnsi"/>
                <w:sz w:val="20"/>
                <w:szCs w:val="20"/>
              </w:rPr>
            </w:pPr>
            <w:r w:rsidRPr="00CD11DE">
              <w:rPr>
                <w:rFonts w:cstheme="minorHAnsi"/>
                <w:sz w:val="20"/>
                <w:szCs w:val="20"/>
              </w:rPr>
              <w:t>Liquidity Buffer</w:t>
            </w:r>
          </w:p>
        </w:tc>
        <w:tc>
          <w:tcPr>
            <w:tcW w:w="288" w:type="dxa"/>
            <w:tcBorders>
              <w:top w:val="single" w:sz="4" w:space="0" w:color="00B0F0"/>
              <w:left w:val="nil"/>
              <w:bottom w:val="nil"/>
              <w:right w:val="single" w:sz="4" w:space="0" w:color="00B0F0"/>
            </w:tcBorders>
          </w:tcPr>
          <w:p w14:paraId="39AD953A" w14:textId="77777777" w:rsidR="003F12AA" w:rsidRPr="00CD11DE" w:rsidRDefault="003F12AA">
            <w:pPr>
              <w:spacing w:after="0" w:line="240" w:lineRule="auto"/>
              <w:jc w:val="center"/>
              <w:rPr>
                <w:rFonts w:cstheme="minorHAnsi"/>
                <w:sz w:val="20"/>
                <w:szCs w:val="20"/>
              </w:rPr>
            </w:pPr>
          </w:p>
        </w:tc>
      </w:tr>
      <w:tr w:rsidR="003F12AA" w:rsidRPr="00CD11DE" w14:paraId="427CB374" w14:textId="77777777" w:rsidTr="002571D1">
        <w:tc>
          <w:tcPr>
            <w:tcW w:w="0" w:type="auto"/>
            <w:vMerge/>
            <w:tcBorders>
              <w:top w:val="single" w:sz="4" w:space="0" w:color="C09200"/>
              <w:left w:val="single" w:sz="4" w:space="0" w:color="00B0F0"/>
              <w:bottom w:val="single" w:sz="4" w:space="0" w:color="00B0F0"/>
              <w:right w:val="nil"/>
            </w:tcBorders>
            <w:vAlign w:val="center"/>
            <w:hideMark/>
          </w:tcPr>
          <w:p w14:paraId="3DDB7190" w14:textId="77777777" w:rsidR="003F12AA" w:rsidRPr="00CD11DE" w:rsidRDefault="003F12AA">
            <w:pPr>
              <w:spacing w:after="0" w:line="240" w:lineRule="auto"/>
              <w:rPr>
                <w:rFonts w:cstheme="minorHAnsi"/>
                <w:sz w:val="20"/>
                <w:szCs w:val="20"/>
              </w:rPr>
            </w:pPr>
          </w:p>
        </w:tc>
        <w:tc>
          <w:tcPr>
            <w:tcW w:w="5946" w:type="dxa"/>
            <w:tcBorders>
              <w:top w:val="single" w:sz="4" w:space="0" w:color="auto"/>
              <w:left w:val="nil"/>
              <w:bottom w:val="single" w:sz="4" w:space="0" w:color="00B0F0"/>
              <w:right w:val="nil"/>
            </w:tcBorders>
            <w:vAlign w:val="center"/>
            <w:hideMark/>
          </w:tcPr>
          <w:p w14:paraId="26A0669F" w14:textId="77777777" w:rsidR="003F12AA" w:rsidRPr="00CD11DE" w:rsidRDefault="003F12AA">
            <w:pPr>
              <w:spacing w:after="0" w:line="240" w:lineRule="auto"/>
              <w:jc w:val="center"/>
              <w:rPr>
                <w:rFonts w:cstheme="minorHAnsi"/>
                <w:sz w:val="20"/>
                <w:szCs w:val="20"/>
              </w:rPr>
            </w:pPr>
            <w:r w:rsidRPr="00CD11DE">
              <w:rPr>
                <w:rFonts w:cstheme="minorHAnsi"/>
                <w:sz w:val="20"/>
                <w:szCs w:val="20"/>
              </w:rPr>
              <w:t>Net Liquidity Outflows over a 30-day calendar day stress period</w:t>
            </w:r>
          </w:p>
        </w:tc>
        <w:tc>
          <w:tcPr>
            <w:tcW w:w="288" w:type="dxa"/>
            <w:tcBorders>
              <w:top w:val="nil"/>
              <w:left w:val="nil"/>
              <w:bottom w:val="single" w:sz="4" w:space="0" w:color="00B0F0"/>
              <w:right w:val="single" w:sz="4" w:space="0" w:color="00B0F0"/>
            </w:tcBorders>
          </w:tcPr>
          <w:p w14:paraId="728DBC46" w14:textId="77777777" w:rsidR="003F12AA" w:rsidRPr="00CD11DE" w:rsidRDefault="003F12AA">
            <w:pPr>
              <w:spacing w:after="0" w:line="240" w:lineRule="auto"/>
              <w:jc w:val="center"/>
              <w:rPr>
                <w:rFonts w:cstheme="minorHAnsi"/>
                <w:sz w:val="20"/>
                <w:szCs w:val="20"/>
              </w:rPr>
            </w:pPr>
          </w:p>
        </w:tc>
      </w:tr>
    </w:tbl>
    <w:p w14:paraId="44FD43E1" w14:textId="19AD5502" w:rsidR="003F12AA" w:rsidRPr="00CD11DE" w:rsidRDefault="003F12AA" w:rsidP="003F12AA">
      <w:pPr>
        <w:spacing w:before="240"/>
        <w:rPr>
          <w:rFonts w:asciiTheme="minorHAnsi" w:hAnsiTheme="minorHAnsi" w:cstheme="minorHAnsi"/>
          <w:sz w:val="20"/>
          <w:szCs w:val="20"/>
        </w:rPr>
      </w:pPr>
      <w:r w:rsidRPr="00CD11DE">
        <w:rPr>
          <w:rFonts w:cstheme="minorHAnsi"/>
          <w:sz w:val="20"/>
          <w:szCs w:val="20"/>
        </w:rPr>
        <w:t xml:space="preserve">The objective of the LCR is to ensure the short-term resilience of the liquidity risk profile of banks. It does this by ensuring that banks have an adequate stock (liquidity buffer) of unencumbered HQLAs that can be converted easily and immediately into cash to meet liquidity needs for a 30-calendar day liquidity stress scenario. The LCR ratio of 100% or more means that the Bank will have sufficient liquid assets to meets its obligations as and when they fall due, even in case of a severe stress for a period of at least 30 calendar days. </w:t>
      </w:r>
    </w:p>
    <w:p w14:paraId="79C7C2A6" w14:textId="218000A4" w:rsidR="0038103E" w:rsidRPr="00CD11DE" w:rsidRDefault="0038103E" w:rsidP="00ED4289">
      <w:pPr>
        <w:rPr>
          <w:sz w:val="20"/>
          <w:szCs w:val="20"/>
        </w:rPr>
      </w:pPr>
      <w:r w:rsidRPr="00CD11DE">
        <w:rPr>
          <w:sz w:val="20"/>
          <w:szCs w:val="20"/>
        </w:rPr>
        <w:t>The Bank’s LCR as at 31</w:t>
      </w:r>
      <w:r w:rsidR="003F12AA" w:rsidRPr="00CD11DE">
        <w:rPr>
          <w:sz w:val="20"/>
          <w:szCs w:val="20"/>
          <w:vertAlign w:val="superscript"/>
        </w:rPr>
        <w:t>st</w:t>
      </w:r>
      <w:r w:rsidRPr="00CD11DE">
        <w:rPr>
          <w:sz w:val="20"/>
          <w:szCs w:val="20"/>
        </w:rPr>
        <w:t xml:space="preserve"> December </w:t>
      </w:r>
      <w:r w:rsidR="0023087C">
        <w:rPr>
          <w:sz w:val="20"/>
          <w:szCs w:val="20"/>
        </w:rPr>
        <w:t>2024</w:t>
      </w:r>
      <w:r w:rsidR="002C17E9" w:rsidRPr="00CD11DE">
        <w:rPr>
          <w:sz w:val="20"/>
          <w:szCs w:val="20"/>
        </w:rPr>
        <w:t xml:space="preserve"> </w:t>
      </w:r>
      <w:r w:rsidRPr="00CD11DE">
        <w:rPr>
          <w:sz w:val="20"/>
          <w:szCs w:val="20"/>
        </w:rPr>
        <w:t xml:space="preserve">was </w:t>
      </w:r>
      <w:r w:rsidR="00173B0E">
        <w:rPr>
          <w:sz w:val="20"/>
          <w:szCs w:val="20"/>
        </w:rPr>
        <w:t>746</w:t>
      </w:r>
      <w:r w:rsidRPr="00173B0E">
        <w:rPr>
          <w:sz w:val="20"/>
          <w:szCs w:val="20"/>
        </w:rPr>
        <w:t>%</w:t>
      </w:r>
      <w:r w:rsidRPr="00CD11DE">
        <w:rPr>
          <w:sz w:val="20"/>
          <w:szCs w:val="20"/>
        </w:rPr>
        <w:t xml:space="preserve"> (31</w:t>
      </w:r>
      <w:r w:rsidR="003F12AA" w:rsidRPr="00CD11DE">
        <w:rPr>
          <w:sz w:val="20"/>
          <w:szCs w:val="20"/>
          <w:vertAlign w:val="superscript"/>
        </w:rPr>
        <w:t>st</w:t>
      </w:r>
      <w:r w:rsidRPr="00CD11DE">
        <w:rPr>
          <w:sz w:val="20"/>
          <w:szCs w:val="20"/>
        </w:rPr>
        <w:t xml:space="preserve"> December </w:t>
      </w:r>
      <w:r w:rsidR="0023087C">
        <w:rPr>
          <w:sz w:val="20"/>
          <w:szCs w:val="20"/>
        </w:rPr>
        <w:t>2023</w:t>
      </w:r>
      <w:r w:rsidRPr="00CD11DE">
        <w:rPr>
          <w:sz w:val="20"/>
          <w:szCs w:val="20"/>
        </w:rPr>
        <w:t xml:space="preserve">: </w:t>
      </w:r>
      <w:r w:rsidR="0016685E" w:rsidRPr="00CD11DE">
        <w:rPr>
          <w:sz w:val="20"/>
          <w:szCs w:val="20"/>
        </w:rPr>
        <w:t>786</w:t>
      </w:r>
      <w:r w:rsidRPr="00CD11DE">
        <w:rPr>
          <w:sz w:val="20"/>
          <w:szCs w:val="20"/>
        </w:rPr>
        <w:t>%)</w:t>
      </w:r>
      <w:r w:rsidR="00D51F2C" w:rsidRPr="00CD11DE">
        <w:rPr>
          <w:sz w:val="20"/>
          <w:szCs w:val="20"/>
        </w:rPr>
        <w:t xml:space="preserve"> which</w:t>
      </w:r>
      <w:r w:rsidRPr="00CD11DE">
        <w:rPr>
          <w:sz w:val="20"/>
          <w:szCs w:val="20"/>
        </w:rPr>
        <w:t xml:space="preserve"> is in excess of the minimum standard of 100% mandated by the PRA.</w:t>
      </w:r>
      <w:r w:rsidR="00203156" w:rsidRPr="00CD11DE">
        <w:rPr>
          <w:sz w:val="20"/>
          <w:szCs w:val="20"/>
        </w:rPr>
        <w:t xml:space="preserve"> </w:t>
      </w:r>
      <w:r w:rsidR="003F12AA" w:rsidRPr="00CD11DE">
        <w:rPr>
          <w:sz w:val="20"/>
          <w:szCs w:val="20"/>
        </w:rPr>
        <w:t>A breakdown</w:t>
      </w:r>
      <w:r w:rsidR="00DC3EBE" w:rsidRPr="00CD11DE">
        <w:rPr>
          <w:sz w:val="20"/>
          <w:szCs w:val="20"/>
        </w:rPr>
        <w:t xml:space="preserve"> showing the average</w:t>
      </w:r>
      <w:r w:rsidR="003F12AA" w:rsidRPr="00CD11DE">
        <w:rPr>
          <w:sz w:val="20"/>
          <w:szCs w:val="20"/>
        </w:rPr>
        <w:t xml:space="preserve"> of the calculation for both </w:t>
      </w:r>
      <w:r w:rsidR="0023087C">
        <w:rPr>
          <w:sz w:val="20"/>
          <w:szCs w:val="20"/>
        </w:rPr>
        <w:t>2024</w:t>
      </w:r>
      <w:r w:rsidR="002C17E9" w:rsidRPr="00CD11DE">
        <w:rPr>
          <w:sz w:val="20"/>
          <w:szCs w:val="20"/>
        </w:rPr>
        <w:t xml:space="preserve"> </w:t>
      </w:r>
      <w:r w:rsidR="003F12AA" w:rsidRPr="00CD11DE">
        <w:rPr>
          <w:sz w:val="20"/>
          <w:szCs w:val="20"/>
        </w:rPr>
        <w:t xml:space="preserve">and </w:t>
      </w:r>
      <w:r w:rsidR="0023087C">
        <w:rPr>
          <w:sz w:val="20"/>
          <w:szCs w:val="20"/>
        </w:rPr>
        <w:t>2023</w:t>
      </w:r>
      <w:r w:rsidR="002C17E9" w:rsidRPr="00CD11DE">
        <w:rPr>
          <w:sz w:val="20"/>
          <w:szCs w:val="20"/>
        </w:rPr>
        <w:t xml:space="preserve"> </w:t>
      </w:r>
      <w:r w:rsidR="003F12AA" w:rsidRPr="00CD11DE">
        <w:rPr>
          <w:sz w:val="20"/>
          <w:szCs w:val="20"/>
        </w:rPr>
        <w:t>can be found in Annex 1 template KM1.</w:t>
      </w:r>
    </w:p>
    <w:p w14:paraId="5573FEB3" w14:textId="78F46E98" w:rsidR="00D81F22" w:rsidRPr="00CD11DE" w:rsidRDefault="00D81F22" w:rsidP="0038103E">
      <w:pPr>
        <w:ind w:left="-5"/>
        <w:rPr>
          <w:sz w:val="20"/>
          <w:szCs w:val="20"/>
        </w:rPr>
      </w:pPr>
    </w:p>
    <w:p w14:paraId="42E4CAC4" w14:textId="77777777" w:rsidR="00A44406" w:rsidRPr="00C62D72" w:rsidRDefault="00A44406" w:rsidP="00D02827">
      <w:pPr>
        <w:pStyle w:val="Heading3"/>
        <w:rPr>
          <w:lang w:val="en-GB"/>
        </w:rPr>
      </w:pPr>
      <w:bookmarkStart w:id="416" w:name="_Toc492021126"/>
      <w:r w:rsidRPr="00C62D72">
        <w:rPr>
          <w:lang w:val="en-GB"/>
        </w:rPr>
        <w:t>Net Stable Funding Ratio</w:t>
      </w:r>
    </w:p>
    <w:p w14:paraId="7B7F0A81" w14:textId="2FE9EF39" w:rsidR="00CB4CB5" w:rsidRPr="00C62D72" w:rsidRDefault="00CB4CB5" w:rsidP="00CB4CB5">
      <w:pPr>
        <w:pStyle w:val="NoSpacing"/>
        <w:spacing w:line="256" w:lineRule="auto"/>
        <w:rPr>
          <w:rFonts w:asciiTheme="minorHAnsi" w:eastAsiaTheme="minorEastAsia" w:hAnsiTheme="minorHAnsi" w:cstheme="minorHAnsi"/>
          <w:color w:val="auto"/>
          <w:sz w:val="20"/>
          <w:szCs w:val="20"/>
          <w:lang w:val="en-GB"/>
        </w:rPr>
      </w:pPr>
      <w:r w:rsidRPr="00C62D72">
        <w:rPr>
          <w:rFonts w:eastAsiaTheme="minorHAnsi" w:cstheme="minorHAnsi"/>
          <w:sz w:val="20"/>
          <w:szCs w:val="20"/>
          <w:lang w:val="en-GB"/>
        </w:rPr>
        <w:t>The Bank has used the NSFR to analyse the stability of its funding profile. The NSFR requires the Bank to hold enough stable funding to cover the duration of long-term assets.</w:t>
      </w:r>
      <w:r w:rsidRPr="00C62D72">
        <w:rPr>
          <w:sz w:val="20"/>
          <w:szCs w:val="20"/>
          <w:lang w:val="en-GB"/>
        </w:rPr>
        <w:t xml:space="preserve"> </w:t>
      </w:r>
      <w:r w:rsidRPr="00C62D72">
        <w:rPr>
          <w:rFonts w:eastAsiaTheme="minorHAnsi" w:cstheme="minorHAnsi"/>
          <w:sz w:val="20"/>
          <w:szCs w:val="20"/>
          <w:lang w:val="en-GB"/>
        </w:rPr>
        <w:t>The NSFR was introduced through the Basel III framework, and in July 2021, the PRA published PRA Rulebook (CRR) Instrument 2021, which formally introduced the NSFR as a requirement from 1 January 2022.</w:t>
      </w:r>
    </w:p>
    <w:p w14:paraId="4F323D1F" w14:textId="77777777" w:rsidR="00DC3EBE" w:rsidRPr="00C62D72" w:rsidRDefault="00DC3EBE" w:rsidP="00CB4CB5">
      <w:pPr>
        <w:pStyle w:val="NoSpacing"/>
        <w:spacing w:line="256" w:lineRule="auto"/>
        <w:rPr>
          <w:rFonts w:eastAsiaTheme="minorHAnsi" w:cstheme="minorHAnsi"/>
          <w:sz w:val="20"/>
          <w:szCs w:val="20"/>
          <w:lang w:val="en-GB"/>
        </w:rPr>
      </w:pPr>
    </w:p>
    <w:p w14:paraId="53C2FDA9" w14:textId="50CFCE82" w:rsidR="00CB4CB5" w:rsidRPr="00C62D72" w:rsidRDefault="00CB4CB5" w:rsidP="00CB4CB5">
      <w:pPr>
        <w:pStyle w:val="NoSpacing"/>
        <w:spacing w:line="256" w:lineRule="auto"/>
        <w:rPr>
          <w:rFonts w:eastAsiaTheme="minorHAnsi" w:cstheme="minorHAnsi"/>
          <w:sz w:val="20"/>
          <w:szCs w:val="20"/>
          <w:lang w:val="en-GB"/>
        </w:rPr>
      </w:pPr>
      <w:r w:rsidRPr="00C62D72">
        <w:rPr>
          <w:rFonts w:eastAsiaTheme="minorHAnsi" w:cstheme="minorHAnsi"/>
          <w:sz w:val="20"/>
          <w:szCs w:val="20"/>
          <w:lang w:val="en-GB"/>
        </w:rPr>
        <w:t xml:space="preserve">Available Stable Funding (‘ASF’) is measured based on the broad characteristics of the relative stability of the Bank’s funding sources, including contractual maturities of all liabilities and the differences in the propensity of different types of funding providers to withdraw their funding. Generally, higher weighting is given to liabilities that have residual maturity of over 1 year (i.e. the longer dated liabilities are given a favourable treatment, compared to shorter term liabilities). </w:t>
      </w:r>
    </w:p>
    <w:p w14:paraId="6D63CD98" w14:textId="77777777" w:rsidR="00C7222E" w:rsidRPr="00CD11DE" w:rsidRDefault="00C7222E" w:rsidP="00CB4CB5">
      <w:pPr>
        <w:rPr>
          <w:rFonts w:cstheme="minorHAnsi"/>
          <w:sz w:val="20"/>
          <w:szCs w:val="20"/>
        </w:rPr>
      </w:pPr>
    </w:p>
    <w:tbl>
      <w:tblPr>
        <w:tblStyle w:val="TableGrid0"/>
        <w:tblW w:w="9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3748"/>
        <w:gridCol w:w="1450"/>
      </w:tblGrid>
      <w:tr w:rsidR="00C7222E" w:rsidRPr="00CD11DE" w14:paraId="350D1253" w14:textId="77777777" w:rsidTr="002571D1">
        <w:trPr>
          <w:trHeight w:val="250"/>
        </w:trPr>
        <w:tc>
          <w:tcPr>
            <w:tcW w:w="3860" w:type="dxa"/>
            <w:vMerge w:val="restart"/>
            <w:tcBorders>
              <w:top w:val="single" w:sz="4" w:space="0" w:color="00B0F0"/>
              <w:left w:val="single" w:sz="4" w:space="0" w:color="00B0F0"/>
              <w:bottom w:val="single" w:sz="4" w:space="0" w:color="C09200"/>
              <w:right w:val="nil"/>
            </w:tcBorders>
            <w:vAlign w:val="center"/>
            <w:hideMark/>
          </w:tcPr>
          <w:p w14:paraId="3815D784" w14:textId="11DBD944" w:rsidR="00C7222E" w:rsidRPr="00064BD3" w:rsidRDefault="00C7222E" w:rsidP="00C7222E">
            <w:pPr>
              <w:spacing w:after="0" w:line="240" w:lineRule="auto"/>
              <w:jc w:val="center"/>
              <w:rPr>
                <w:rFonts w:cstheme="minorHAnsi"/>
                <w:sz w:val="20"/>
                <w:szCs w:val="20"/>
                <w:lang w:val="nl-NL"/>
              </w:rPr>
            </w:pPr>
            <w:r w:rsidRPr="00064BD3">
              <w:rPr>
                <w:rFonts w:cstheme="minorHAnsi"/>
                <w:sz w:val="20"/>
                <w:szCs w:val="20"/>
                <w:lang w:val="nl-NL"/>
              </w:rPr>
              <w:t>Net Sta</w:t>
            </w:r>
            <w:r w:rsidR="00A45A6B">
              <w:rPr>
                <w:rFonts w:cstheme="minorHAnsi"/>
                <w:sz w:val="20"/>
                <w:szCs w:val="20"/>
                <w:lang w:val="nl-NL"/>
              </w:rPr>
              <w:t>b</w:t>
            </w:r>
            <w:r w:rsidRPr="00064BD3">
              <w:rPr>
                <w:rFonts w:cstheme="minorHAnsi"/>
                <w:sz w:val="20"/>
                <w:szCs w:val="20"/>
                <w:lang w:val="nl-NL"/>
              </w:rPr>
              <w:t>le Funding Ratio (NSFR)  =</w:t>
            </w:r>
          </w:p>
        </w:tc>
        <w:tc>
          <w:tcPr>
            <w:tcW w:w="3748" w:type="dxa"/>
            <w:tcBorders>
              <w:top w:val="single" w:sz="4" w:space="0" w:color="00B0F0"/>
              <w:left w:val="nil"/>
              <w:bottom w:val="single" w:sz="4" w:space="0" w:color="auto"/>
              <w:right w:val="nil"/>
            </w:tcBorders>
            <w:vAlign w:val="center"/>
            <w:hideMark/>
          </w:tcPr>
          <w:p w14:paraId="38F9BAB2" w14:textId="72CAC9D5" w:rsidR="00C7222E" w:rsidRPr="00CD11DE" w:rsidRDefault="00C7222E" w:rsidP="00C7222E">
            <w:pPr>
              <w:spacing w:after="0" w:line="240" w:lineRule="auto"/>
              <w:jc w:val="center"/>
              <w:rPr>
                <w:rFonts w:cstheme="minorHAnsi"/>
                <w:sz w:val="20"/>
                <w:szCs w:val="20"/>
              </w:rPr>
            </w:pPr>
            <w:r w:rsidRPr="00CD11DE">
              <w:rPr>
                <w:rFonts w:cstheme="minorHAnsi"/>
                <w:sz w:val="20"/>
                <w:szCs w:val="20"/>
              </w:rPr>
              <w:t>Available Stable Funding</w:t>
            </w:r>
          </w:p>
        </w:tc>
        <w:tc>
          <w:tcPr>
            <w:tcW w:w="1450" w:type="dxa"/>
            <w:vMerge w:val="restart"/>
            <w:tcBorders>
              <w:top w:val="single" w:sz="4" w:space="0" w:color="00B0F0"/>
              <w:left w:val="nil"/>
              <w:right w:val="single" w:sz="4" w:space="0" w:color="00B0F0"/>
            </w:tcBorders>
            <w:vAlign w:val="center"/>
          </w:tcPr>
          <w:p w14:paraId="5F7C0D0A" w14:textId="0DC3E3FF" w:rsidR="00C7222E" w:rsidRPr="00CD11DE" w:rsidRDefault="00C7222E" w:rsidP="00C7222E">
            <w:pPr>
              <w:spacing w:after="0" w:line="240" w:lineRule="auto"/>
              <w:jc w:val="center"/>
              <w:rPr>
                <w:rFonts w:cstheme="minorHAnsi"/>
                <w:sz w:val="20"/>
                <w:szCs w:val="20"/>
              </w:rPr>
            </w:pPr>
            <w:r w:rsidRPr="00CD11DE">
              <w:rPr>
                <w:rFonts w:cstheme="minorHAnsi"/>
                <w:sz w:val="20"/>
                <w:szCs w:val="20"/>
              </w:rPr>
              <w:t>&gt;</w:t>
            </w:r>
            <w:r w:rsidR="009A5F4B">
              <w:rPr>
                <w:rFonts w:cstheme="minorHAnsi"/>
                <w:sz w:val="20"/>
                <w:szCs w:val="20"/>
              </w:rPr>
              <w:t xml:space="preserve"> </w:t>
            </w:r>
            <w:r w:rsidRPr="00CD11DE">
              <w:rPr>
                <w:rFonts w:cstheme="minorHAnsi"/>
                <w:sz w:val="20"/>
                <w:szCs w:val="20"/>
              </w:rPr>
              <w:t>100%</w:t>
            </w:r>
          </w:p>
        </w:tc>
      </w:tr>
      <w:tr w:rsidR="00C7222E" w:rsidRPr="00CD11DE" w14:paraId="08CD63E6" w14:textId="77777777" w:rsidTr="002571D1">
        <w:trPr>
          <w:trHeight w:val="160"/>
        </w:trPr>
        <w:tc>
          <w:tcPr>
            <w:tcW w:w="0" w:type="auto"/>
            <w:vMerge/>
            <w:tcBorders>
              <w:top w:val="single" w:sz="4" w:space="0" w:color="C09200"/>
              <w:left w:val="single" w:sz="4" w:space="0" w:color="00B0F0"/>
              <w:bottom w:val="single" w:sz="4" w:space="0" w:color="00B0F0"/>
              <w:right w:val="nil"/>
            </w:tcBorders>
            <w:vAlign w:val="center"/>
            <w:hideMark/>
          </w:tcPr>
          <w:p w14:paraId="5184BDE3" w14:textId="77777777" w:rsidR="00C7222E" w:rsidRPr="00CD11DE" w:rsidRDefault="00C7222E" w:rsidP="00C62D72">
            <w:pPr>
              <w:spacing w:after="0" w:line="240" w:lineRule="auto"/>
              <w:jc w:val="center"/>
              <w:rPr>
                <w:rFonts w:cstheme="minorHAnsi"/>
                <w:sz w:val="20"/>
                <w:szCs w:val="20"/>
              </w:rPr>
            </w:pPr>
          </w:p>
        </w:tc>
        <w:tc>
          <w:tcPr>
            <w:tcW w:w="3748" w:type="dxa"/>
            <w:tcBorders>
              <w:top w:val="single" w:sz="4" w:space="0" w:color="auto"/>
              <w:left w:val="nil"/>
              <w:bottom w:val="single" w:sz="4" w:space="0" w:color="00B0F0"/>
              <w:right w:val="nil"/>
            </w:tcBorders>
            <w:vAlign w:val="center"/>
            <w:hideMark/>
          </w:tcPr>
          <w:p w14:paraId="6C758F18" w14:textId="77156016" w:rsidR="00C7222E" w:rsidRPr="00CD11DE" w:rsidRDefault="00C7222E" w:rsidP="00C7222E">
            <w:pPr>
              <w:spacing w:after="0" w:line="240" w:lineRule="auto"/>
              <w:jc w:val="center"/>
              <w:rPr>
                <w:rFonts w:cstheme="minorHAnsi"/>
                <w:sz w:val="20"/>
                <w:szCs w:val="20"/>
              </w:rPr>
            </w:pPr>
            <w:r w:rsidRPr="00CD11DE">
              <w:rPr>
                <w:rFonts w:cstheme="minorHAnsi"/>
                <w:sz w:val="20"/>
                <w:szCs w:val="20"/>
              </w:rPr>
              <w:t>Required Stable Funding</w:t>
            </w:r>
          </w:p>
        </w:tc>
        <w:tc>
          <w:tcPr>
            <w:tcW w:w="1450" w:type="dxa"/>
            <w:vMerge/>
            <w:tcBorders>
              <w:left w:val="nil"/>
              <w:bottom w:val="single" w:sz="4" w:space="0" w:color="00B0F0"/>
              <w:right w:val="single" w:sz="4" w:space="0" w:color="00B0F0"/>
            </w:tcBorders>
            <w:vAlign w:val="center"/>
          </w:tcPr>
          <w:p w14:paraId="74FF7F8E" w14:textId="77777777" w:rsidR="00C7222E" w:rsidRPr="00CD11DE" w:rsidRDefault="00C7222E" w:rsidP="00C7222E">
            <w:pPr>
              <w:spacing w:after="0" w:line="240" w:lineRule="auto"/>
              <w:jc w:val="center"/>
              <w:rPr>
                <w:rFonts w:cstheme="minorHAnsi"/>
                <w:sz w:val="20"/>
                <w:szCs w:val="20"/>
              </w:rPr>
            </w:pPr>
          </w:p>
        </w:tc>
      </w:tr>
    </w:tbl>
    <w:p w14:paraId="1105FB7F" w14:textId="4B8FAE82" w:rsidR="00CB4CB5" w:rsidRPr="00CD11DE" w:rsidRDefault="00CB4CB5" w:rsidP="00CB4CB5">
      <w:pPr>
        <w:rPr>
          <w:rFonts w:cstheme="minorHAnsi"/>
          <w:sz w:val="20"/>
          <w:szCs w:val="20"/>
        </w:rPr>
      </w:pPr>
    </w:p>
    <w:p w14:paraId="175C6466" w14:textId="77777777" w:rsidR="00DC3EBE" w:rsidRPr="00CD11DE" w:rsidRDefault="00DC3EBE" w:rsidP="00F22F02">
      <w:pPr>
        <w:rPr>
          <w:rFonts w:cstheme="minorHAnsi"/>
          <w:sz w:val="20"/>
          <w:szCs w:val="20"/>
        </w:rPr>
      </w:pPr>
    </w:p>
    <w:p w14:paraId="5E7C0CC4" w14:textId="5FDBB12B" w:rsidR="003F12AA" w:rsidRPr="00CD11DE" w:rsidRDefault="00CB4CB5" w:rsidP="00F22F02">
      <w:r w:rsidRPr="00CD11DE">
        <w:rPr>
          <w:rFonts w:cstheme="minorHAnsi"/>
          <w:sz w:val="20"/>
          <w:szCs w:val="20"/>
        </w:rPr>
        <w:t xml:space="preserve">The Bank’s NSFR as </w:t>
      </w:r>
      <w:r w:rsidR="00882497" w:rsidRPr="00CD11DE">
        <w:rPr>
          <w:rFonts w:cstheme="minorHAnsi"/>
          <w:sz w:val="20"/>
          <w:szCs w:val="20"/>
        </w:rPr>
        <w:t>of</w:t>
      </w:r>
      <w:r w:rsidRPr="00CD11DE">
        <w:rPr>
          <w:rFonts w:cstheme="minorHAnsi"/>
          <w:sz w:val="20"/>
          <w:szCs w:val="20"/>
        </w:rPr>
        <w:t xml:space="preserve"> 31</w:t>
      </w:r>
      <w:r w:rsidRPr="00CD11DE">
        <w:rPr>
          <w:rFonts w:cstheme="minorHAnsi"/>
          <w:sz w:val="20"/>
          <w:szCs w:val="20"/>
          <w:vertAlign w:val="superscript"/>
        </w:rPr>
        <w:t>st</w:t>
      </w:r>
      <w:r w:rsidRPr="00CD11DE">
        <w:rPr>
          <w:rFonts w:cstheme="minorHAnsi"/>
          <w:sz w:val="20"/>
          <w:szCs w:val="20"/>
        </w:rPr>
        <w:t xml:space="preserve"> December </w:t>
      </w:r>
      <w:r w:rsidR="0023087C">
        <w:rPr>
          <w:rFonts w:cstheme="minorHAnsi"/>
          <w:sz w:val="20"/>
          <w:szCs w:val="20"/>
        </w:rPr>
        <w:t>2024</w:t>
      </w:r>
      <w:r w:rsidRPr="00CD11DE">
        <w:rPr>
          <w:rFonts w:cstheme="minorHAnsi"/>
          <w:sz w:val="20"/>
          <w:szCs w:val="20"/>
        </w:rPr>
        <w:t xml:space="preserve"> is calculated to be </w:t>
      </w:r>
      <w:r w:rsidR="00173B0E">
        <w:rPr>
          <w:rFonts w:cstheme="minorHAnsi"/>
          <w:sz w:val="20"/>
          <w:szCs w:val="20"/>
        </w:rPr>
        <w:t>16</w:t>
      </w:r>
      <w:r w:rsidR="00173B0E" w:rsidRPr="00173B0E">
        <w:rPr>
          <w:rFonts w:cstheme="minorHAnsi"/>
          <w:sz w:val="20"/>
          <w:szCs w:val="20"/>
        </w:rPr>
        <w:t>1</w:t>
      </w:r>
      <w:r w:rsidR="007A4E0B" w:rsidRPr="00173B0E">
        <w:rPr>
          <w:rFonts w:cstheme="minorHAnsi"/>
          <w:sz w:val="20"/>
          <w:szCs w:val="20"/>
        </w:rPr>
        <w:t>%</w:t>
      </w:r>
      <w:r w:rsidR="007A4E0B" w:rsidRPr="00CD11DE">
        <w:rPr>
          <w:rFonts w:cstheme="minorHAnsi"/>
          <w:sz w:val="20"/>
          <w:szCs w:val="20"/>
        </w:rPr>
        <w:t xml:space="preserve"> which is in excess of</w:t>
      </w:r>
      <w:r w:rsidRPr="00CD11DE">
        <w:rPr>
          <w:rFonts w:cstheme="minorHAnsi"/>
          <w:sz w:val="20"/>
          <w:szCs w:val="20"/>
        </w:rPr>
        <w:t xml:space="preserve"> the regulatory requirement of 100%. A breakdown </w:t>
      </w:r>
      <w:r w:rsidR="00DC3EBE" w:rsidRPr="00CD11DE">
        <w:rPr>
          <w:rFonts w:cstheme="minorHAnsi"/>
          <w:sz w:val="20"/>
          <w:szCs w:val="20"/>
        </w:rPr>
        <w:t>showing the average of the</w:t>
      </w:r>
      <w:r w:rsidRPr="00CD11DE">
        <w:rPr>
          <w:rFonts w:cstheme="minorHAnsi"/>
          <w:sz w:val="20"/>
          <w:szCs w:val="20"/>
        </w:rPr>
        <w:t xml:space="preserve"> calculation for both </w:t>
      </w:r>
      <w:r w:rsidR="0023087C">
        <w:rPr>
          <w:rFonts w:cstheme="minorHAnsi"/>
          <w:sz w:val="20"/>
          <w:szCs w:val="20"/>
        </w:rPr>
        <w:t>2024</w:t>
      </w:r>
      <w:r w:rsidR="002C17E9" w:rsidRPr="00CD11DE">
        <w:rPr>
          <w:rFonts w:cstheme="minorHAnsi"/>
          <w:sz w:val="20"/>
          <w:szCs w:val="20"/>
        </w:rPr>
        <w:t xml:space="preserve"> </w:t>
      </w:r>
      <w:r w:rsidRPr="00CD11DE">
        <w:rPr>
          <w:rFonts w:cstheme="minorHAnsi"/>
          <w:sz w:val="20"/>
          <w:szCs w:val="20"/>
        </w:rPr>
        <w:t xml:space="preserve">and </w:t>
      </w:r>
      <w:r w:rsidR="0023087C">
        <w:rPr>
          <w:rFonts w:cstheme="minorHAnsi"/>
          <w:sz w:val="20"/>
          <w:szCs w:val="20"/>
        </w:rPr>
        <w:t>2023</w:t>
      </w:r>
      <w:r w:rsidR="002C17E9" w:rsidRPr="00CD11DE">
        <w:rPr>
          <w:rFonts w:cstheme="minorHAnsi"/>
          <w:sz w:val="20"/>
          <w:szCs w:val="20"/>
        </w:rPr>
        <w:t xml:space="preserve"> </w:t>
      </w:r>
      <w:r w:rsidRPr="00CD11DE">
        <w:rPr>
          <w:rFonts w:cstheme="minorHAnsi"/>
          <w:sz w:val="20"/>
          <w:szCs w:val="20"/>
        </w:rPr>
        <w:t>can be found in Annex 1 template KM1.</w:t>
      </w:r>
    </w:p>
    <w:p w14:paraId="68850EDA" w14:textId="5FDE6B09" w:rsidR="00761210" w:rsidRPr="00C62D72" w:rsidRDefault="00761210" w:rsidP="00D02827">
      <w:pPr>
        <w:pStyle w:val="Heading3"/>
        <w:rPr>
          <w:lang w:val="en-GB"/>
        </w:rPr>
      </w:pPr>
      <w:r w:rsidRPr="00C62D72">
        <w:rPr>
          <w:lang w:val="en-GB"/>
        </w:rPr>
        <w:lastRenderedPageBreak/>
        <w:t>Asset Encumbrance</w:t>
      </w:r>
    </w:p>
    <w:p w14:paraId="03BDC023" w14:textId="0A28BA55" w:rsidR="00761210" w:rsidRPr="00CD11DE" w:rsidRDefault="00761210" w:rsidP="00761210">
      <w:pPr>
        <w:spacing w:before="240"/>
        <w:rPr>
          <w:rFonts w:cstheme="minorHAnsi"/>
          <w:sz w:val="20"/>
          <w:szCs w:val="20"/>
        </w:rPr>
      </w:pPr>
      <w:r w:rsidRPr="00CD11DE">
        <w:rPr>
          <w:rFonts w:cstheme="minorHAnsi"/>
          <w:sz w:val="20"/>
          <w:szCs w:val="20"/>
        </w:rPr>
        <w:t xml:space="preserve">As of </w:t>
      </w:r>
      <w:r w:rsidR="00D02827" w:rsidRPr="00CD11DE">
        <w:rPr>
          <w:rFonts w:cstheme="minorHAnsi"/>
          <w:sz w:val="20"/>
          <w:szCs w:val="20"/>
        </w:rPr>
        <w:t>31</w:t>
      </w:r>
      <w:r w:rsidR="00D02827" w:rsidRPr="00CD11DE">
        <w:rPr>
          <w:rFonts w:cstheme="minorHAnsi"/>
          <w:sz w:val="20"/>
          <w:szCs w:val="20"/>
          <w:vertAlign w:val="superscript"/>
        </w:rPr>
        <w:t>st</w:t>
      </w:r>
      <w:r w:rsidR="00D02827" w:rsidRPr="00CD11DE">
        <w:rPr>
          <w:rFonts w:cstheme="minorHAnsi"/>
          <w:sz w:val="20"/>
          <w:szCs w:val="20"/>
        </w:rPr>
        <w:t xml:space="preserve"> December </w:t>
      </w:r>
      <w:r w:rsidR="0023087C">
        <w:rPr>
          <w:rFonts w:cstheme="minorHAnsi"/>
          <w:sz w:val="20"/>
          <w:szCs w:val="20"/>
        </w:rPr>
        <w:t>2024</w:t>
      </w:r>
      <w:r w:rsidR="00D02827" w:rsidRPr="00CD11DE">
        <w:rPr>
          <w:rFonts w:cstheme="minorHAnsi"/>
          <w:sz w:val="20"/>
          <w:szCs w:val="20"/>
        </w:rPr>
        <w:t>,</w:t>
      </w:r>
      <w:r w:rsidRPr="00CD11DE">
        <w:rPr>
          <w:rFonts w:cstheme="minorHAnsi"/>
          <w:sz w:val="20"/>
          <w:szCs w:val="20"/>
        </w:rPr>
        <w:t xml:space="preserve"> the Bank ha</w:t>
      </w:r>
      <w:r w:rsidR="00D02827" w:rsidRPr="00CD11DE">
        <w:rPr>
          <w:rFonts w:cstheme="minorHAnsi"/>
          <w:sz w:val="20"/>
          <w:szCs w:val="20"/>
        </w:rPr>
        <w:t>d</w:t>
      </w:r>
      <w:r w:rsidRPr="00CD11DE">
        <w:rPr>
          <w:rFonts w:cstheme="minorHAnsi"/>
          <w:sz w:val="20"/>
          <w:szCs w:val="20"/>
        </w:rPr>
        <w:t xml:space="preserve"> not undertaken any securitisation activities. Furthermore, the finance assets and securities are unencumbered, with the intention for this to remain the status quo going forward. However, in the past the Bank has been able to successfully securitise a portion of its finance assets in order to raise funds. </w:t>
      </w:r>
    </w:p>
    <w:p w14:paraId="2180B783" w14:textId="4E8C83D2" w:rsidR="00761210" w:rsidRPr="00CD11DE" w:rsidRDefault="00761210" w:rsidP="00761210">
      <w:pPr>
        <w:spacing w:before="240"/>
        <w:rPr>
          <w:rFonts w:cstheme="minorHAnsi"/>
          <w:sz w:val="20"/>
          <w:szCs w:val="20"/>
        </w:rPr>
      </w:pPr>
      <w:r w:rsidRPr="00CD11DE">
        <w:rPr>
          <w:rFonts w:cstheme="minorHAnsi"/>
          <w:sz w:val="20"/>
          <w:szCs w:val="20"/>
        </w:rPr>
        <w:t xml:space="preserve">The Bank </w:t>
      </w:r>
      <w:r w:rsidR="00401A7A" w:rsidRPr="00CD11DE">
        <w:rPr>
          <w:rFonts w:cstheme="minorHAnsi"/>
          <w:sz w:val="20"/>
          <w:szCs w:val="20"/>
        </w:rPr>
        <w:t xml:space="preserve">successfully executed </w:t>
      </w:r>
      <w:bookmarkStart w:id="417" w:name="_Hlk198729712"/>
      <w:r w:rsidR="00B14240">
        <w:rPr>
          <w:rFonts w:cstheme="minorHAnsi"/>
          <w:sz w:val="20"/>
          <w:szCs w:val="20"/>
        </w:rPr>
        <w:t xml:space="preserve">one </w:t>
      </w:r>
      <w:r w:rsidR="00146937">
        <w:rPr>
          <w:rFonts w:cstheme="minorHAnsi"/>
          <w:sz w:val="20"/>
          <w:szCs w:val="20"/>
        </w:rPr>
        <w:t>sharia compliant</w:t>
      </w:r>
      <w:r w:rsidR="00401A7A" w:rsidRPr="00CD11DE">
        <w:rPr>
          <w:rFonts w:cstheme="minorHAnsi"/>
          <w:sz w:val="20"/>
          <w:szCs w:val="20"/>
        </w:rPr>
        <w:t xml:space="preserve"> repo transactions </w:t>
      </w:r>
      <w:bookmarkEnd w:id="417"/>
      <w:r w:rsidR="00401A7A" w:rsidRPr="00CD11DE">
        <w:rPr>
          <w:rFonts w:cstheme="minorHAnsi"/>
          <w:sz w:val="20"/>
          <w:szCs w:val="20"/>
        </w:rPr>
        <w:t xml:space="preserve">as part of its funding initiatives </w:t>
      </w:r>
      <w:r w:rsidRPr="00CD11DE">
        <w:rPr>
          <w:rFonts w:cstheme="minorHAnsi"/>
          <w:sz w:val="20"/>
          <w:szCs w:val="20"/>
        </w:rPr>
        <w:t>as of 31</w:t>
      </w:r>
      <w:r w:rsidRPr="00CD11DE">
        <w:rPr>
          <w:rFonts w:cstheme="minorHAnsi"/>
          <w:sz w:val="20"/>
          <w:szCs w:val="20"/>
          <w:vertAlign w:val="superscript"/>
        </w:rPr>
        <w:t>st</w:t>
      </w:r>
      <w:r w:rsidRPr="00CD11DE">
        <w:rPr>
          <w:rFonts w:cstheme="minorHAnsi"/>
          <w:sz w:val="20"/>
          <w:szCs w:val="20"/>
        </w:rPr>
        <w:t xml:space="preserve"> December </w:t>
      </w:r>
      <w:r w:rsidR="0023087C">
        <w:rPr>
          <w:rFonts w:cstheme="minorHAnsi"/>
          <w:sz w:val="20"/>
          <w:szCs w:val="20"/>
        </w:rPr>
        <w:t>2024</w:t>
      </w:r>
      <w:r w:rsidRPr="00CD11DE">
        <w:rPr>
          <w:rFonts w:cstheme="minorHAnsi"/>
          <w:sz w:val="20"/>
          <w:szCs w:val="20"/>
        </w:rPr>
        <w:t>.</w:t>
      </w:r>
    </w:p>
    <w:p w14:paraId="5A838CCF" w14:textId="77777777" w:rsidR="00761210" w:rsidRPr="00C62D72" w:rsidRDefault="00761210" w:rsidP="00761210"/>
    <w:p w14:paraId="3A488D5D" w14:textId="1272AEA6" w:rsidR="00F8266F" w:rsidRPr="00C62D72" w:rsidRDefault="009F0AFC" w:rsidP="0023179E">
      <w:pPr>
        <w:pStyle w:val="Heading2"/>
        <w:rPr>
          <w:lang w:val="en-GB"/>
        </w:rPr>
      </w:pPr>
      <w:bookmarkStart w:id="418" w:name="_Toc201575419"/>
      <w:r w:rsidRPr="00C62D72">
        <w:rPr>
          <w:lang w:val="en-GB"/>
        </w:rPr>
        <w:t xml:space="preserve">Sharia </w:t>
      </w:r>
      <w:r w:rsidR="00F06EAE" w:rsidRPr="00C62D72">
        <w:rPr>
          <w:lang w:val="en-GB"/>
        </w:rPr>
        <w:t>non-</w:t>
      </w:r>
      <w:r w:rsidR="005455DD" w:rsidRPr="00C62D72">
        <w:rPr>
          <w:lang w:val="en-GB"/>
        </w:rPr>
        <w:t>c</w:t>
      </w:r>
      <w:r w:rsidRPr="00C62D72">
        <w:rPr>
          <w:lang w:val="en-GB"/>
        </w:rPr>
        <w:t>ompliance risk</w:t>
      </w:r>
      <w:bookmarkEnd w:id="416"/>
      <w:bookmarkEnd w:id="418"/>
      <w:r w:rsidRPr="00C62D72">
        <w:rPr>
          <w:lang w:val="en-GB"/>
        </w:rPr>
        <w:t xml:space="preserve"> </w:t>
      </w:r>
    </w:p>
    <w:p w14:paraId="36ED02C3" w14:textId="297B5D22" w:rsidR="00DB181B" w:rsidRPr="00CD11DE" w:rsidRDefault="00DB181B" w:rsidP="00DB181B">
      <w:pPr>
        <w:spacing w:after="21"/>
        <w:ind w:left="-5"/>
        <w:rPr>
          <w:sz w:val="20"/>
          <w:szCs w:val="20"/>
        </w:rPr>
      </w:pPr>
      <w:r w:rsidRPr="00CD11DE">
        <w:rPr>
          <w:sz w:val="20"/>
          <w:szCs w:val="20"/>
        </w:rPr>
        <w:t xml:space="preserve">Sharia non-compliance risk is the risk associated with the failure to adhere to Sharia principles in conducting banking activities and operations. The Bank’s primary objective is to provide banking </w:t>
      </w:r>
      <w:r w:rsidR="003858B0" w:rsidRPr="00CD11DE">
        <w:rPr>
          <w:sz w:val="20"/>
          <w:szCs w:val="20"/>
        </w:rPr>
        <w:t xml:space="preserve">products and </w:t>
      </w:r>
      <w:r w:rsidRPr="00CD11DE">
        <w:rPr>
          <w:sz w:val="20"/>
          <w:szCs w:val="20"/>
        </w:rPr>
        <w:t>services that are compliant with Sharia to its customers. Consequently, the Sharia-compliant nature of each transaction, product, and service offered is pivotal to the Bank’s success.</w:t>
      </w:r>
    </w:p>
    <w:p w14:paraId="3D8FD525" w14:textId="77777777" w:rsidR="00DB181B" w:rsidRPr="00CD11DE" w:rsidRDefault="00DB181B" w:rsidP="00DB181B">
      <w:pPr>
        <w:spacing w:after="21"/>
        <w:ind w:left="-5"/>
        <w:rPr>
          <w:sz w:val="20"/>
          <w:szCs w:val="20"/>
        </w:rPr>
      </w:pPr>
      <w:r w:rsidRPr="00CD11DE">
        <w:rPr>
          <w:sz w:val="20"/>
          <w:szCs w:val="20"/>
        </w:rPr>
        <w:t xml:space="preserve"> </w:t>
      </w:r>
    </w:p>
    <w:p w14:paraId="51F0D245" w14:textId="77777777" w:rsidR="00DB181B" w:rsidRPr="00CD11DE" w:rsidRDefault="00DB181B" w:rsidP="00DB181B">
      <w:pPr>
        <w:spacing w:after="21"/>
        <w:ind w:left="-5"/>
        <w:rPr>
          <w:sz w:val="20"/>
          <w:szCs w:val="20"/>
        </w:rPr>
      </w:pPr>
      <w:r w:rsidRPr="00CD11DE">
        <w:rPr>
          <w:sz w:val="20"/>
          <w:szCs w:val="20"/>
        </w:rPr>
        <w:t>The Bank’s risk appetite for Sharia non-compliance risk is such that we must operate in a manner which conforms with Sharia principles and rules.</w:t>
      </w:r>
    </w:p>
    <w:p w14:paraId="1EBF7523" w14:textId="77777777" w:rsidR="00DB181B" w:rsidRPr="00CD11DE" w:rsidRDefault="00DB181B" w:rsidP="00DB181B">
      <w:pPr>
        <w:spacing w:after="21"/>
        <w:ind w:left="-5"/>
        <w:rPr>
          <w:sz w:val="20"/>
          <w:szCs w:val="20"/>
        </w:rPr>
      </w:pPr>
      <w:r w:rsidRPr="00CD11DE">
        <w:rPr>
          <w:sz w:val="20"/>
          <w:szCs w:val="20"/>
        </w:rPr>
        <w:t xml:space="preserve"> </w:t>
      </w:r>
    </w:p>
    <w:p w14:paraId="3AFB6600" w14:textId="3BD732B2" w:rsidR="006F6E1A" w:rsidRPr="00CD11DE" w:rsidRDefault="00DB181B" w:rsidP="00DB181B">
      <w:pPr>
        <w:spacing w:after="21"/>
        <w:ind w:left="-5"/>
        <w:rPr>
          <w:sz w:val="20"/>
          <w:szCs w:val="20"/>
        </w:rPr>
      </w:pPr>
      <w:r w:rsidRPr="00CD11DE">
        <w:rPr>
          <w:sz w:val="20"/>
          <w:szCs w:val="20"/>
        </w:rPr>
        <w:t xml:space="preserve">Oversight of Sharia compliance for transactions, products, and services is achieved through a robust Sharia governance framework. This framework includes the independent Sharia Supervisory Committee (SSC), which is tasked with ensuring the Bank’s operations are in alignment with Islamic law. The SSC, comprising experts in the interpretation of Islamic law and its application in modern Islamic financial institutions, meets regularly to review contracts and agreements related to the Bank’s transactions, certifying each product offered by the Bank from a Sharia perspective. In addition, the Bank’s Sharia Compliance Department works </w:t>
      </w:r>
      <w:r w:rsidR="0041583D" w:rsidRPr="00CD11DE">
        <w:rPr>
          <w:sz w:val="20"/>
          <w:szCs w:val="20"/>
        </w:rPr>
        <w:t>daily</w:t>
      </w:r>
      <w:r w:rsidRPr="00CD11DE">
        <w:rPr>
          <w:sz w:val="20"/>
          <w:szCs w:val="20"/>
        </w:rPr>
        <w:t xml:space="preserve"> with all departments within the Bank to ensure compliance with Sharia principles in their operations. The department also conducts regular Sharia Compliance audit reviews.</w:t>
      </w:r>
      <w:r w:rsidR="009F0AFC" w:rsidRPr="00CD11DE">
        <w:rPr>
          <w:sz w:val="20"/>
          <w:szCs w:val="20"/>
        </w:rPr>
        <w:t xml:space="preserve"> </w:t>
      </w:r>
    </w:p>
    <w:p w14:paraId="2291B208" w14:textId="77777777" w:rsidR="00725933" w:rsidRPr="00CD11DE" w:rsidRDefault="00725933" w:rsidP="00DB181B">
      <w:pPr>
        <w:spacing w:after="21"/>
        <w:ind w:left="-5"/>
        <w:rPr>
          <w:sz w:val="20"/>
          <w:szCs w:val="20"/>
        </w:rPr>
      </w:pPr>
    </w:p>
    <w:p w14:paraId="31D7C252" w14:textId="2F69077F" w:rsidR="007A4E0B" w:rsidRPr="00C62D72" w:rsidRDefault="007A4E0B" w:rsidP="0023179E">
      <w:pPr>
        <w:pStyle w:val="Heading2"/>
        <w:rPr>
          <w:lang w:val="en-GB"/>
        </w:rPr>
      </w:pPr>
      <w:bookmarkStart w:id="419" w:name="_Toc201575420"/>
      <w:bookmarkStart w:id="420" w:name="_Toc492021127"/>
      <w:r w:rsidRPr="00C62D72">
        <w:rPr>
          <w:lang w:val="en-GB"/>
        </w:rPr>
        <w:t>Group Risk</w:t>
      </w:r>
      <w:bookmarkEnd w:id="419"/>
    </w:p>
    <w:p w14:paraId="723ABA1F" w14:textId="34BAD7DD" w:rsidR="00725933" w:rsidRPr="00CD11DE" w:rsidRDefault="00725933" w:rsidP="00725933">
      <w:pPr>
        <w:spacing w:after="218" w:line="259" w:lineRule="auto"/>
        <w:rPr>
          <w:sz w:val="20"/>
          <w:szCs w:val="20"/>
        </w:rPr>
      </w:pPr>
      <w:r w:rsidRPr="00CD11DE">
        <w:rPr>
          <w:sz w:val="20"/>
          <w:szCs w:val="20"/>
        </w:rPr>
        <w:t xml:space="preserve">Group risk is the risk that the financial position of a firm may be adversely affected by its relationships (financial or non-financial) with other entities in the same group or by risk which may affect the financial position of the whole group, including reputational contagion. </w:t>
      </w:r>
    </w:p>
    <w:p w14:paraId="5982D1AE" w14:textId="1C948577" w:rsidR="007A4E0B" w:rsidRPr="00C62D72" w:rsidRDefault="00725933" w:rsidP="00725933">
      <w:pPr>
        <w:spacing w:after="218" w:line="259" w:lineRule="auto"/>
      </w:pPr>
      <w:r w:rsidRPr="62E27241">
        <w:rPr>
          <w:sz w:val="20"/>
          <w:szCs w:val="20"/>
        </w:rPr>
        <w:t>Though the Bank has a majority shareholder (</w:t>
      </w:r>
      <w:r w:rsidR="00000798" w:rsidRPr="00AF1161">
        <w:rPr>
          <w:sz w:val="20"/>
          <w:szCs w:val="20"/>
        </w:rPr>
        <w:t xml:space="preserve">AlRayan Bank </w:t>
      </w:r>
      <w:r w:rsidR="002571D1" w:rsidRPr="00AF1161">
        <w:rPr>
          <w:sz w:val="20"/>
          <w:szCs w:val="20"/>
        </w:rPr>
        <w:t>QPSC</w:t>
      </w:r>
      <w:r w:rsidR="002571D1" w:rsidRPr="62E27241" w:rsidDel="00000798">
        <w:rPr>
          <w:sz w:val="20"/>
          <w:szCs w:val="20"/>
        </w:rPr>
        <w:t>)</w:t>
      </w:r>
      <w:r w:rsidRPr="62E27241">
        <w:rPr>
          <w:sz w:val="20"/>
          <w:szCs w:val="20"/>
        </w:rPr>
        <w:t xml:space="preserve">, the Bank operates as a stand-alone entity in the UK and does not operate shared functions or </w:t>
      </w:r>
      <w:r w:rsidR="00D47AA0" w:rsidRPr="62E27241">
        <w:rPr>
          <w:sz w:val="20"/>
          <w:szCs w:val="20"/>
        </w:rPr>
        <w:t>systems.</w:t>
      </w:r>
      <w:r w:rsidRPr="62E27241">
        <w:rPr>
          <w:sz w:val="20"/>
          <w:szCs w:val="20"/>
        </w:rPr>
        <w:t xml:space="preserve"> Moreover, the Bank is not reliant at all on funding from the Parent companies as there are no formal Group arrangements in place</w:t>
      </w:r>
      <w:r w:rsidR="0041583D" w:rsidRPr="62E27241">
        <w:rPr>
          <w:sz w:val="20"/>
          <w:szCs w:val="20"/>
        </w:rPr>
        <w:t xml:space="preserve">. As demonstrated through the Bank’s stress testing </w:t>
      </w:r>
      <w:r w:rsidR="002571D1" w:rsidRPr="62E27241">
        <w:rPr>
          <w:sz w:val="20"/>
          <w:szCs w:val="20"/>
        </w:rPr>
        <w:t>analysis,</w:t>
      </w:r>
      <w:r w:rsidRPr="62E27241">
        <w:rPr>
          <w:sz w:val="20"/>
          <w:szCs w:val="20"/>
        </w:rPr>
        <w:t xml:space="preserve"> the Bank would be able to raise </w:t>
      </w:r>
      <w:r w:rsidR="002571D1" w:rsidRPr="62E27241">
        <w:rPr>
          <w:sz w:val="20"/>
          <w:szCs w:val="20"/>
        </w:rPr>
        <w:t>funding a</w:t>
      </w:r>
      <w:r w:rsidR="0041583D" w:rsidRPr="62E27241">
        <w:rPr>
          <w:sz w:val="20"/>
          <w:szCs w:val="20"/>
        </w:rPr>
        <w:t xml:space="preserve"> variety of sources without the need to place any reliance on Group.</w:t>
      </w:r>
    </w:p>
    <w:p w14:paraId="030EEADD" w14:textId="1E46D1D8" w:rsidR="007A4E0B" w:rsidRPr="00C62D72" w:rsidRDefault="007A4E0B" w:rsidP="0023179E">
      <w:pPr>
        <w:pStyle w:val="Heading2"/>
        <w:rPr>
          <w:lang w:val="en-GB"/>
        </w:rPr>
      </w:pPr>
      <w:bookmarkStart w:id="421" w:name="_Toc201575421"/>
      <w:r w:rsidRPr="00C62D72">
        <w:rPr>
          <w:lang w:val="en-GB"/>
        </w:rPr>
        <w:t>Financial Risks from Climate Change</w:t>
      </w:r>
      <w:bookmarkEnd w:id="421"/>
    </w:p>
    <w:p w14:paraId="3B4907B4" w14:textId="77777777" w:rsidR="00725933" w:rsidRPr="00CD11DE" w:rsidRDefault="007A4E0B" w:rsidP="00725933">
      <w:pPr>
        <w:spacing w:after="218" w:line="259" w:lineRule="auto"/>
        <w:rPr>
          <w:sz w:val="20"/>
          <w:szCs w:val="20"/>
        </w:rPr>
      </w:pPr>
      <w:r w:rsidRPr="00CD11DE">
        <w:rPr>
          <w:sz w:val="20"/>
          <w:szCs w:val="20"/>
        </w:rPr>
        <w:t xml:space="preserve">The </w:t>
      </w:r>
      <w:r w:rsidR="00725933" w:rsidRPr="00CD11DE">
        <w:rPr>
          <w:sz w:val="20"/>
          <w:szCs w:val="20"/>
        </w:rPr>
        <w:t>Bank’s Environmental, Social and Governance (ESG) Policy acts as the overarching document detailing roles and responsibilities, and the Bank’s approach to managing the risks associated with ESG, including financial risks from climate change. This Policy sets out the principles and standards that Al Rayan Bank will adopt in response to the potential material financial impacts it faces from exposure to climate related financial risk and ensures that it aligns itself with industry and governmental expectations to achieve a net zero economy by 2050. Furthermore, it forms the basis for managing and monitoring climate change risk and establishes the framework required to ensure that climate change risk management and sustainability is embedded in the Bank’s longer-term strategy</w:t>
      </w:r>
    </w:p>
    <w:p w14:paraId="03859E6B" w14:textId="14566451" w:rsidR="007A4E0B" w:rsidRPr="00C62D72" w:rsidRDefault="0041583D" w:rsidP="00725933">
      <w:pPr>
        <w:spacing w:after="218" w:line="259" w:lineRule="auto"/>
      </w:pPr>
      <w:r w:rsidRPr="00CD11DE">
        <w:rPr>
          <w:sz w:val="20"/>
          <w:szCs w:val="20"/>
        </w:rPr>
        <w:lastRenderedPageBreak/>
        <w:t>To</w:t>
      </w:r>
      <w:r w:rsidR="00725933" w:rsidRPr="00CD11DE">
        <w:rPr>
          <w:sz w:val="20"/>
          <w:szCs w:val="20"/>
        </w:rPr>
        <w:t xml:space="preserve"> </w:t>
      </w:r>
      <w:r w:rsidR="00725933" w:rsidRPr="0041583D">
        <w:rPr>
          <w:sz w:val="20"/>
          <w:szCs w:val="20"/>
        </w:rPr>
        <w:t>review the current potential environmental risks posed to the Bank’s real estate finance portfolio, the Bank engaged with an external specialist in 202</w:t>
      </w:r>
      <w:r>
        <w:rPr>
          <w:sz w:val="20"/>
          <w:szCs w:val="20"/>
        </w:rPr>
        <w:t>4</w:t>
      </w:r>
      <w:r w:rsidR="00725933" w:rsidRPr="0041583D">
        <w:rPr>
          <w:sz w:val="20"/>
          <w:szCs w:val="20"/>
        </w:rPr>
        <w:t xml:space="preserve"> to provide a climate </w:t>
      </w:r>
      <w:r>
        <w:rPr>
          <w:sz w:val="20"/>
          <w:szCs w:val="20"/>
        </w:rPr>
        <w:t>risk</w:t>
      </w:r>
      <w:r w:rsidRPr="0041583D">
        <w:rPr>
          <w:sz w:val="20"/>
          <w:szCs w:val="20"/>
        </w:rPr>
        <w:t xml:space="preserve"> </w:t>
      </w:r>
      <w:r w:rsidR="00725933" w:rsidRPr="0041583D">
        <w:rPr>
          <w:sz w:val="20"/>
          <w:szCs w:val="20"/>
        </w:rPr>
        <w:t>assessment</w:t>
      </w:r>
      <w:r w:rsidR="00725933" w:rsidRPr="00CD11DE">
        <w:rPr>
          <w:sz w:val="20"/>
          <w:szCs w:val="20"/>
        </w:rPr>
        <w:t>. Overall, the Bank’s review found that the impact of climate change was deemed to be negligible</w:t>
      </w:r>
      <w:r w:rsidRPr="0041583D">
        <w:rPr>
          <w:sz w:val="20"/>
          <w:szCs w:val="20"/>
        </w:rPr>
        <w:t xml:space="preserve"> </w:t>
      </w:r>
      <w:r>
        <w:rPr>
          <w:sz w:val="20"/>
          <w:szCs w:val="20"/>
        </w:rPr>
        <w:t>from a capital perspective</w:t>
      </w:r>
      <w:r w:rsidRPr="00CD11DE">
        <w:rPr>
          <w:sz w:val="20"/>
          <w:szCs w:val="20"/>
        </w:rPr>
        <w:t>.</w:t>
      </w:r>
      <w:r>
        <w:rPr>
          <w:sz w:val="20"/>
          <w:szCs w:val="20"/>
        </w:rPr>
        <w:t xml:space="preserve"> Climate Risk is considered on an annual basis in the ICAAP and ILAAP </w:t>
      </w:r>
      <w:r w:rsidR="002571D1">
        <w:rPr>
          <w:sz w:val="20"/>
          <w:szCs w:val="20"/>
        </w:rPr>
        <w:t>documents.</w:t>
      </w:r>
    </w:p>
    <w:p w14:paraId="381B1D37" w14:textId="03337B69" w:rsidR="007A4E0B" w:rsidRPr="00C62D72" w:rsidRDefault="007A4E0B" w:rsidP="0023179E">
      <w:pPr>
        <w:pStyle w:val="Heading2"/>
        <w:rPr>
          <w:lang w:val="en-GB"/>
        </w:rPr>
      </w:pPr>
      <w:bookmarkStart w:id="422" w:name="_Toc201575422"/>
      <w:r w:rsidRPr="00C62D72">
        <w:rPr>
          <w:lang w:val="en-GB"/>
        </w:rPr>
        <w:t>Conduct Risk</w:t>
      </w:r>
      <w:bookmarkEnd w:id="422"/>
    </w:p>
    <w:p w14:paraId="5B7F58B5" w14:textId="71FE0A32" w:rsidR="00725933" w:rsidRPr="00CD11DE" w:rsidRDefault="00725933" w:rsidP="00725933">
      <w:pPr>
        <w:spacing w:after="218" w:line="259" w:lineRule="auto"/>
        <w:rPr>
          <w:sz w:val="20"/>
          <w:szCs w:val="20"/>
        </w:rPr>
      </w:pPr>
      <w:r w:rsidRPr="00CD11DE">
        <w:rPr>
          <w:sz w:val="20"/>
          <w:szCs w:val="20"/>
        </w:rPr>
        <w:t xml:space="preserve">Conduct Risk at Al Rayan is defined as </w:t>
      </w:r>
      <w:r w:rsidR="0041583D" w:rsidRPr="0041583D">
        <w:rPr>
          <w:sz w:val="20"/>
          <w:szCs w:val="20"/>
        </w:rPr>
        <w:t>products or actions that lead to poor customer outcomes or cause harm to stakeholders or broader market integrity.</w:t>
      </w:r>
      <w:r w:rsidRPr="00CD11DE">
        <w:rPr>
          <w:sz w:val="20"/>
          <w:szCs w:val="20"/>
        </w:rPr>
        <w:t xml:space="preserve"> </w:t>
      </w:r>
    </w:p>
    <w:p w14:paraId="3F7B1050" w14:textId="77777777" w:rsidR="00725933" w:rsidRPr="00CD11DE" w:rsidRDefault="00725933" w:rsidP="00725933">
      <w:pPr>
        <w:spacing w:after="218" w:line="259" w:lineRule="auto"/>
        <w:rPr>
          <w:sz w:val="20"/>
          <w:szCs w:val="20"/>
        </w:rPr>
      </w:pPr>
      <w:r w:rsidRPr="00CD11DE">
        <w:rPr>
          <w:sz w:val="20"/>
          <w:szCs w:val="20"/>
        </w:rPr>
        <w:t>Achieving good outcomes for our customers is at the heart of Al Rayan’s vision, mission, strategic plans and values. The Bank’s core values are Trusted, Empowered, Able and Motivated which support the achievement of the Bank’s vision. They also promote and support the proactive identification and management of Conduct Risk, which is critical to ensuring the successful delivery of the Bank’s proposed business plan, fair outcomes and protection of customers.</w:t>
      </w:r>
    </w:p>
    <w:p w14:paraId="6F2DB0DD" w14:textId="2607B3D4" w:rsidR="00725933" w:rsidRPr="00CD11DE" w:rsidRDefault="00725933" w:rsidP="00725933">
      <w:pPr>
        <w:spacing w:after="218" w:line="259" w:lineRule="auto"/>
        <w:rPr>
          <w:sz w:val="20"/>
          <w:szCs w:val="20"/>
        </w:rPr>
      </w:pPr>
      <w:r w:rsidRPr="00CD11DE">
        <w:rPr>
          <w:sz w:val="20"/>
          <w:szCs w:val="20"/>
        </w:rPr>
        <w:t>The Consumer Duty requirements came into force for open products and services on 31 July 2023</w:t>
      </w:r>
      <w:r w:rsidR="00731C76">
        <w:rPr>
          <w:sz w:val="20"/>
          <w:szCs w:val="20"/>
        </w:rPr>
        <w:t xml:space="preserve"> and for closed products from </w:t>
      </w:r>
      <w:r w:rsidR="00A53A69">
        <w:rPr>
          <w:sz w:val="20"/>
          <w:szCs w:val="20"/>
        </w:rPr>
        <w:t>31</w:t>
      </w:r>
      <w:r w:rsidR="00A53A69" w:rsidRPr="006F3279">
        <w:rPr>
          <w:sz w:val="20"/>
          <w:szCs w:val="20"/>
          <w:vertAlign w:val="superscript"/>
        </w:rPr>
        <w:t>st</w:t>
      </w:r>
      <w:r w:rsidR="00A53A69">
        <w:rPr>
          <w:sz w:val="20"/>
          <w:szCs w:val="20"/>
        </w:rPr>
        <w:t xml:space="preserve"> July 2024</w:t>
      </w:r>
      <w:r w:rsidRPr="00CD11DE">
        <w:rPr>
          <w:sz w:val="20"/>
          <w:szCs w:val="20"/>
        </w:rPr>
        <w:t>. Under these rules, the Bank must act to deliver good outcomes for retail customers. The Consumer Duty is focussed around four key outcomes that reflect the entire customer journey, and include:</w:t>
      </w:r>
    </w:p>
    <w:p w14:paraId="46E70C64" w14:textId="77777777" w:rsidR="00725933" w:rsidRPr="00CD11DE" w:rsidRDefault="00725933" w:rsidP="009262C5">
      <w:pPr>
        <w:pStyle w:val="ListParagraph"/>
        <w:numPr>
          <w:ilvl w:val="0"/>
          <w:numId w:val="4"/>
        </w:numPr>
      </w:pPr>
      <w:r w:rsidRPr="00CD11DE">
        <w:t>Products and services</w:t>
      </w:r>
    </w:p>
    <w:p w14:paraId="28D326C8" w14:textId="77777777" w:rsidR="00725933" w:rsidRPr="00CD11DE" w:rsidRDefault="00725933" w:rsidP="009262C5">
      <w:pPr>
        <w:pStyle w:val="ListParagraph"/>
        <w:numPr>
          <w:ilvl w:val="0"/>
          <w:numId w:val="4"/>
        </w:numPr>
      </w:pPr>
      <w:r w:rsidRPr="00CD11DE">
        <w:t>Price and value</w:t>
      </w:r>
    </w:p>
    <w:p w14:paraId="478380F3" w14:textId="77777777" w:rsidR="00725933" w:rsidRPr="00CD11DE" w:rsidRDefault="00725933" w:rsidP="009262C5">
      <w:pPr>
        <w:pStyle w:val="ListParagraph"/>
        <w:numPr>
          <w:ilvl w:val="0"/>
          <w:numId w:val="4"/>
        </w:numPr>
      </w:pPr>
      <w:r w:rsidRPr="00CD11DE">
        <w:t>Understanding</w:t>
      </w:r>
    </w:p>
    <w:p w14:paraId="1AD4AB21" w14:textId="18DF5EA9" w:rsidR="0041583D" w:rsidRPr="00CD11DE" w:rsidRDefault="00725933" w:rsidP="009262C5">
      <w:pPr>
        <w:pStyle w:val="ListParagraph"/>
        <w:numPr>
          <w:ilvl w:val="0"/>
          <w:numId w:val="4"/>
        </w:numPr>
      </w:pPr>
      <w:r w:rsidRPr="00CD11DE">
        <w:t>Support</w:t>
      </w:r>
      <w:r w:rsidR="0041583D">
        <w:br/>
      </w:r>
    </w:p>
    <w:p w14:paraId="09A02FA0" w14:textId="23EF1BE7" w:rsidR="00725933" w:rsidRPr="00CD11DE" w:rsidRDefault="00725933" w:rsidP="00725933">
      <w:pPr>
        <w:spacing w:after="218" w:line="259" w:lineRule="auto"/>
        <w:rPr>
          <w:sz w:val="20"/>
          <w:szCs w:val="20"/>
        </w:rPr>
      </w:pPr>
      <w:r w:rsidRPr="00CD11DE">
        <w:rPr>
          <w:sz w:val="20"/>
          <w:szCs w:val="20"/>
        </w:rPr>
        <w:t>The Bank implement</w:t>
      </w:r>
      <w:r w:rsidR="0041583D">
        <w:rPr>
          <w:sz w:val="20"/>
          <w:szCs w:val="20"/>
        </w:rPr>
        <w:t>ed</w:t>
      </w:r>
      <w:r w:rsidRPr="00CD11DE">
        <w:rPr>
          <w:sz w:val="20"/>
          <w:szCs w:val="20"/>
        </w:rPr>
        <w:t xml:space="preserve"> Consumer Duty, which completed in </w:t>
      </w:r>
      <w:r w:rsidR="00CF0B35">
        <w:rPr>
          <w:sz w:val="20"/>
          <w:szCs w:val="20"/>
        </w:rPr>
        <w:t xml:space="preserve">which </w:t>
      </w:r>
      <w:r w:rsidR="00CF0B35" w:rsidRPr="00CD11DE">
        <w:rPr>
          <w:sz w:val="20"/>
          <w:szCs w:val="20"/>
        </w:rPr>
        <w:t>was</w:t>
      </w:r>
      <w:r w:rsidRPr="00CD11DE">
        <w:rPr>
          <w:sz w:val="20"/>
          <w:szCs w:val="20"/>
        </w:rPr>
        <w:t xml:space="preserve"> confirmed by the Board</w:t>
      </w:r>
      <w:r w:rsidR="0041583D" w:rsidRPr="0041583D">
        <w:rPr>
          <w:sz w:val="20"/>
          <w:szCs w:val="20"/>
        </w:rPr>
        <w:t xml:space="preserve"> </w:t>
      </w:r>
      <w:r w:rsidR="0041583D" w:rsidRPr="2268E473">
        <w:rPr>
          <w:sz w:val="20"/>
          <w:szCs w:val="20"/>
        </w:rPr>
        <w:t>and is now fully imbedded across the bank, operating as business as usual</w:t>
      </w:r>
      <w:r w:rsidRPr="00CD11DE">
        <w:rPr>
          <w:sz w:val="20"/>
          <w:szCs w:val="20"/>
        </w:rPr>
        <w:t xml:space="preserve">. </w:t>
      </w:r>
    </w:p>
    <w:p w14:paraId="614FB0B7" w14:textId="270E3334" w:rsidR="00725933" w:rsidRPr="00CD11DE" w:rsidRDefault="00725933" w:rsidP="00725933">
      <w:pPr>
        <w:spacing w:after="160" w:line="252" w:lineRule="auto"/>
        <w:rPr>
          <w:rFonts w:eastAsia="Calibri"/>
          <w:sz w:val="20"/>
          <w:szCs w:val="20"/>
        </w:rPr>
      </w:pPr>
      <w:r w:rsidRPr="00CD11DE">
        <w:rPr>
          <w:sz w:val="20"/>
          <w:szCs w:val="20"/>
        </w:rPr>
        <w:t xml:space="preserve">Al Rayan has a conduct risk framework </w:t>
      </w:r>
      <w:r w:rsidR="0041583D">
        <w:rPr>
          <w:sz w:val="20"/>
          <w:szCs w:val="20"/>
        </w:rPr>
        <w:t>which</w:t>
      </w:r>
      <w:r w:rsidR="00CF0B35">
        <w:rPr>
          <w:sz w:val="20"/>
          <w:szCs w:val="20"/>
        </w:rPr>
        <w:t xml:space="preserve"> </w:t>
      </w:r>
      <w:r w:rsidRPr="00CD11DE">
        <w:rPr>
          <w:sz w:val="20"/>
          <w:szCs w:val="20"/>
        </w:rPr>
        <w:t>fully encompass</w:t>
      </w:r>
      <w:r w:rsidR="00763AC9">
        <w:rPr>
          <w:sz w:val="20"/>
          <w:szCs w:val="20"/>
        </w:rPr>
        <w:t>es</w:t>
      </w:r>
      <w:r w:rsidRPr="00CD11DE">
        <w:rPr>
          <w:sz w:val="20"/>
          <w:szCs w:val="20"/>
        </w:rPr>
        <w:t xml:space="preserve"> the requirements of the FCA Consumer Duty regulation. The Bank has </w:t>
      </w:r>
      <w:r w:rsidRPr="00CD11DE">
        <w:rPr>
          <w:rFonts w:eastAsia="Calibri"/>
          <w:sz w:val="20"/>
          <w:szCs w:val="20"/>
        </w:rPr>
        <w:t xml:space="preserve">a structured and disciplined approach to the management of Conduct </w:t>
      </w:r>
      <w:proofErr w:type="gramStart"/>
      <w:r w:rsidRPr="00CD11DE">
        <w:rPr>
          <w:rFonts w:eastAsia="Calibri"/>
          <w:sz w:val="20"/>
          <w:szCs w:val="20"/>
        </w:rPr>
        <w:t>Risk</w:t>
      </w:r>
      <w:proofErr w:type="gramEnd"/>
      <w:r w:rsidRPr="00CD11DE">
        <w:rPr>
          <w:rFonts w:eastAsia="Calibri"/>
          <w:sz w:val="20"/>
          <w:szCs w:val="20"/>
        </w:rPr>
        <w:t xml:space="preserve"> and it has been designed to ensure: </w:t>
      </w:r>
    </w:p>
    <w:p w14:paraId="493B4109" w14:textId="66CF13E7"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 xml:space="preserve">The Bank has processes in place to identify, measure, manage and report on Conduct Risk ensuring that customers are treated fairly and defined Customer Outcomes are achieved. </w:t>
      </w:r>
    </w:p>
    <w:p w14:paraId="013AC6F9" w14:textId="77777777"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Appropriate governance and oversight arrangements are in place across the business in relation to Conduct Risk.</w:t>
      </w:r>
    </w:p>
    <w:p w14:paraId="46EFE39F" w14:textId="77777777"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 xml:space="preserve">Roles and responsibilities are clear, there is appropriate challenge, and the customer is at the heart of governance and decision-making processes. </w:t>
      </w:r>
    </w:p>
    <w:p w14:paraId="7BFC2832" w14:textId="313B5FBB"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 xml:space="preserve">Conduct Risk Appetite has been defined to ensure the Bank only carries out business where Conduct Risk has been </w:t>
      </w:r>
      <w:r w:rsidR="00CF0B35" w:rsidRPr="00CD11DE">
        <w:rPr>
          <w:sz w:val="20"/>
          <w:szCs w:val="20"/>
        </w:rPr>
        <w:t>evaluated,</w:t>
      </w:r>
      <w:r w:rsidRPr="00CD11DE">
        <w:rPr>
          <w:sz w:val="20"/>
          <w:szCs w:val="20"/>
        </w:rPr>
        <w:t xml:space="preserve"> and the residual risk exposure is within the Conduct Risk Appetite. </w:t>
      </w:r>
    </w:p>
    <w:p w14:paraId="1B5FE1F9" w14:textId="77777777" w:rsidR="00763AC9" w:rsidRDefault="00763AC9" w:rsidP="00725933">
      <w:pPr>
        <w:keepLines w:val="0"/>
        <w:numPr>
          <w:ilvl w:val="0"/>
          <w:numId w:val="9"/>
        </w:numPr>
        <w:spacing w:after="0" w:line="252" w:lineRule="auto"/>
        <w:contextualSpacing/>
        <w:rPr>
          <w:sz w:val="20"/>
          <w:szCs w:val="20"/>
        </w:rPr>
      </w:pPr>
      <w:r w:rsidRPr="009F1A0D">
        <w:rPr>
          <w:sz w:val="20"/>
          <w:szCs w:val="20"/>
        </w:rPr>
        <w:t>Employees</w:t>
      </w:r>
      <w:r w:rsidRPr="00621ABE">
        <w:rPr>
          <w:sz w:val="20"/>
          <w:szCs w:val="20"/>
        </w:rPr>
        <w:t xml:space="preserve"> will receive regular training to understand what good customer outcomes look like. </w:t>
      </w:r>
    </w:p>
    <w:p w14:paraId="55A4A2D4" w14:textId="30DFF8FD"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Conduct Risk is considered as part of the Bank’s Business Change/transformation framework and process.</w:t>
      </w:r>
    </w:p>
    <w:p w14:paraId="2807757C" w14:textId="61F68C63"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 xml:space="preserve">The Bank’s </w:t>
      </w:r>
      <w:r w:rsidR="00763AC9">
        <w:rPr>
          <w:sz w:val="20"/>
          <w:szCs w:val="20"/>
        </w:rPr>
        <w:t>third</w:t>
      </w:r>
      <w:r w:rsidR="00763AC9" w:rsidRPr="00CD11DE">
        <w:rPr>
          <w:sz w:val="20"/>
          <w:szCs w:val="20"/>
        </w:rPr>
        <w:t xml:space="preserve"> </w:t>
      </w:r>
      <w:r w:rsidRPr="00CD11DE">
        <w:rPr>
          <w:sz w:val="20"/>
          <w:szCs w:val="20"/>
        </w:rPr>
        <w:t>parties and vendors apply the principles of Conduct Risk</w:t>
      </w:r>
      <w:r w:rsidR="00763AC9">
        <w:rPr>
          <w:sz w:val="20"/>
          <w:szCs w:val="20"/>
        </w:rPr>
        <w:t>.</w:t>
      </w:r>
    </w:p>
    <w:p w14:paraId="4132E10D" w14:textId="77777777" w:rsidR="00725933" w:rsidRPr="00CD11DE" w:rsidRDefault="00725933" w:rsidP="00725933">
      <w:pPr>
        <w:keepLines w:val="0"/>
        <w:numPr>
          <w:ilvl w:val="0"/>
          <w:numId w:val="9"/>
        </w:numPr>
        <w:spacing w:after="0" w:line="252" w:lineRule="auto"/>
        <w:contextualSpacing/>
        <w:rPr>
          <w:sz w:val="20"/>
          <w:szCs w:val="20"/>
        </w:rPr>
      </w:pPr>
      <w:r w:rsidRPr="00CD11DE">
        <w:rPr>
          <w:sz w:val="20"/>
          <w:szCs w:val="20"/>
        </w:rPr>
        <w:t>Compliance with applicable laws and regulations</w:t>
      </w:r>
    </w:p>
    <w:p w14:paraId="6000B4FC" w14:textId="77777777" w:rsidR="007A4E0B" w:rsidRPr="00C62D72" w:rsidRDefault="007A4E0B" w:rsidP="00725933">
      <w:pPr>
        <w:spacing w:after="218" w:line="259" w:lineRule="auto"/>
      </w:pPr>
    </w:p>
    <w:p w14:paraId="5756203A" w14:textId="2A68F8A7" w:rsidR="007A4E0B" w:rsidRPr="00C62D72" w:rsidRDefault="007A4E0B" w:rsidP="0023179E">
      <w:pPr>
        <w:pStyle w:val="Heading2"/>
        <w:rPr>
          <w:lang w:val="en-GB"/>
        </w:rPr>
      </w:pPr>
      <w:bookmarkStart w:id="423" w:name="_Toc201575423"/>
      <w:r w:rsidRPr="00C62D72">
        <w:rPr>
          <w:lang w:val="en-GB"/>
        </w:rPr>
        <w:lastRenderedPageBreak/>
        <w:t>Financial Crime Risk</w:t>
      </w:r>
      <w:bookmarkEnd w:id="423"/>
    </w:p>
    <w:p w14:paraId="5DF7415E" w14:textId="71FF8600" w:rsidR="00763AC9" w:rsidRPr="00CD11DE" w:rsidRDefault="00C71A83" w:rsidP="00763AC9">
      <w:pPr>
        <w:spacing w:after="218" w:line="259" w:lineRule="auto"/>
        <w:rPr>
          <w:sz w:val="20"/>
          <w:szCs w:val="20"/>
        </w:rPr>
      </w:pPr>
      <w:r w:rsidRPr="00C71A83">
        <w:rPr>
          <w:sz w:val="20"/>
          <w:szCs w:val="20"/>
        </w:rPr>
        <w:t xml:space="preserve">Financial Crime Risk is defined as engaging with or facilitating criminal conduct in breach of financial crime laws, rules and </w:t>
      </w:r>
      <w:proofErr w:type="gramStart"/>
      <w:r w:rsidRPr="00C71A83">
        <w:rPr>
          <w:sz w:val="20"/>
          <w:szCs w:val="20"/>
        </w:rPr>
        <w:t>regulations.</w:t>
      </w:r>
      <w:r w:rsidR="00763AC9" w:rsidRPr="008B2EAD">
        <w:rPr>
          <w:kern w:val="24"/>
          <w:sz w:val="20"/>
          <w:szCs w:val="20"/>
        </w:rPr>
        <w:t>.</w:t>
      </w:r>
      <w:proofErr w:type="gramEnd"/>
    </w:p>
    <w:p w14:paraId="6B014C0A" w14:textId="77777777" w:rsidR="00725933" w:rsidRPr="00CD11DE" w:rsidRDefault="00725933" w:rsidP="00725933">
      <w:pPr>
        <w:spacing w:after="218" w:line="259" w:lineRule="auto"/>
        <w:rPr>
          <w:sz w:val="20"/>
          <w:szCs w:val="20"/>
        </w:rPr>
      </w:pPr>
      <w:r w:rsidRPr="00CD11DE">
        <w:rPr>
          <w:sz w:val="20"/>
          <w:szCs w:val="20"/>
        </w:rPr>
        <w:t>The Bank has no appetite for systematic weaknesses in its financial crime systems and controls or any breach of the financial crime laws and regulations applying to its business and activities. The Bank does not undertake business with individuals or entities that it suspects are subject to sanctions or are engaged in and/or exposed to activities relating to financial crime.</w:t>
      </w:r>
    </w:p>
    <w:p w14:paraId="3E5B1C4F" w14:textId="20E103E7" w:rsidR="00B14B38" w:rsidRPr="00CD11DE" w:rsidRDefault="00725933" w:rsidP="00725933">
      <w:pPr>
        <w:spacing w:after="218" w:line="259" w:lineRule="auto"/>
        <w:rPr>
          <w:sz w:val="20"/>
          <w:szCs w:val="20"/>
        </w:rPr>
      </w:pPr>
      <w:r w:rsidRPr="00CD11DE">
        <w:rPr>
          <w:sz w:val="20"/>
          <w:szCs w:val="20"/>
        </w:rPr>
        <w:t>The Bank has invested significantly in the management of financial crime risk and the controls in managing this risk are now materially stronger. However, financial crime is a material non-financial risk across the industry. This has been exacerbated in recent times (e.g., market-wide increases in fraud), so remains a prominent risk within the Bank’s Pillar 2A operational risk assessment.</w:t>
      </w:r>
    </w:p>
    <w:p w14:paraId="72AE2E88" w14:textId="77777777" w:rsidR="00B14B38" w:rsidRPr="00CD11DE" w:rsidRDefault="00B14B38" w:rsidP="00B14B38">
      <w:pPr>
        <w:spacing w:after="218" w:line="259" w:lineRule="auto"/>
        <w:rPr>
          <w:sz w:val="20"/>
          <w:szCs w:val="20"/>
        </w:rPr>
      </w:pPr>
    </w:p>
    <w:p w14:paraId="50171713" w14:textId="77777777" w:rsidR="00B14B38" w:rsidRPr="00CD11DE" w:rsidRDefault="00B14B38" w:rsidP="00B14B38">
      <w:pPr>
        <w:spacing w:after="218" w:line="259" w:lineRule="auto"/>
        <w:rPr>
          <w:sz w:val="20"/>
          <w:szCs w:val="20"/>
        </w:rPr>
      </w:pPr>
    </w:p>
    <w:p w14:paraId="46E3250C" w14:textId="77777777" w:rsidR="00B14B38" w:rsidRPr="00CD11DE" w:rsidRDefault="00B14B38" w:rsidP="00B14B38">
      <w:pPr>
        <w:spacing w:after="218" w:line="259" w:lineRule="auto"/>
        <w:rPr>
          <w:sz w:val="20"/>
          <w:szCs w:val="20"/>
        </w:rPr>
      </w:pPr>
    </w:p>
    <w:p w14:paraId="7611ECEC" w14:textId="77777777" w:rsidR="00B14B38" w:rsidRPr="00CD11DE" w:rsidRDefault="00B14B38" w:rsidP="00B14B38">
      <w:pPr>
        <w:spacing w:after="218" w:line="259" w:lineRule="auto"/>
        <w:rPr>
          <w:sz w:val="20"/>
          <w:szCs w:val="20"/>
        </w:rPr>
      </w:pPr>
    </w:p>
    <w:p w14:paraId="6EA74C25" w14:textId="77777777" w:rsidR="00B14B38" w:rsidRPr="00CD11DE" w:rsidRDefault="00B14B38" w:rsidP="00B14B38">
      <w:pPr>
        <w:spacing w:after="218" w:line="259" w:lineRule="auto"/>
        <w:rPr>
          <w:sz w:val="20"/>
          <w:szCs w:val="20"/>
        </w:rPr>
      </w:pPr>
    </w:p>
    <w:p w14:paraId="45789179" w14:textId="77777777" w:rsidR="00B14B38" w:rsidRPr="00CD11DE" w:rsidRDefault="00B14B38" w:rsidP="00B14B38">
      <w:pPr>
        <w:spacing w:after="218" w:line="259" w:lineRule="auto"/>
        <w:rPr>
          <w:sz w:val="20"/>
          <w:szCs w:val="20"/>
        </w:rPr>
      </w:pPr>
    </w:p>
    <w:p w14:paraId="60813D72" w14:textId="77777777" w:rsidR="00B14B38" w:rsidRPr="00CD11DE" w:rsidRDefault="00B14B38" w:rsidP="00B14B38">
      <w:pPr>
        <w:spacing w:after="218" w:line="259" w:lineRule="auto"/>
        <w:rPr>
          <w:sz w:val="20"/>
          <w:szCs w:val="20"/>
        </w:rPr>
      </w:pPr>
    </w:p>
    <w:p w14:paraId="604A33FC" w14:textId="77777777" w:rsidR="00B14B38" w:rsidRPr="00CD11DE" w:rsidRDefault="00B14B38" w:rsidP="00B14B38">
      <w:pPr>
        <w:spacing w:after="218" w:line="259" w:lineRule="auto"/>
        <w:rPr>
          <w:sz w:val="20"/>
          <w:szCs w:val="20"/>
        </w:rPr>
      </w:pPr>
    </w:p>
    <w:p w14:paraId="38743B0C" w14:textId="77777777" w:rsidR="00B14B38" w:rsidRPr="00CD11DE" w:rsidRDefault="00B14B38" w:rsidP="00B14B38">
      <w:pPr>
        <w:spacing w:after="218" w:line="259" w:lineRule="auto"/>
        <w:rPr>
          <w:sz w:val="20"/>
          <w:szCs w:val="20"/>
        </w:rPr>
      </w:pPr>
    </w:p>
    <w:p w14:paraId="772F2F77" w14:textId="69B806A7" w:rsidR="00D66317" w:rsidRPr="00D07D93" w:rsidRDefault="00D66317" w:rsidP="00D66317">
      <w:pPr>
        <w:jc w:val="center"/>
        <w:rPr>
          <w:sz w:val="18"/>
          <w:szCs w:val="18"/>
        </w:rPr>
      </w:pPr>
      <w:r w:rsidRPr="00D07D93">
        <w:rPr>
          <w:b/>
          <w:bCs/>
          <w:sz w:val="20"/>
          <w:szCs w:val="20"/>
        </w:rPr>
        <w:t>[Remainder of page intentionally left blank]</w:t>
      </w:r>
    </w:p>
    <w:p w14:paraId="62BFA548" w14:textId="77777777" w:rsidR="00B14B38" w:rsidRPr="00CD11DE" w:rsidRDefault="00B14B38" w:rsidP="00B14B38">
      <w:pPr>
        <w:spacing w:after="218" w:line="259" w:lineRule="auto"/>
        <w:rPr>
          <w:sz w:val="20"/>
          <w:szCs w:val="20"/>
        </w:rPr>
      </w:pPr>
    </w:p>
    <w:p w14:paraId="787741B8" w14:textId="77777777" w:rsidR="00725933" w:rsidRPr="00CD11DE" w:rsidRDefault="00725933" w:rsidP="00B14B38">
      <w:pPr>
        <w:spacing w:after="218" w:line="259" w:lineRule="auto"/>
        <w:rPr>
          <w:sz w:val="20"/>
          <w:szCs w:val="20"/>
        </w:rPr>
      </w:pPr>
    </w:p>
    <w:p w14:paraId="1A323CAB" w14:textId="77777777" w:rsidR="00725933" w:rsidRPr="00CD11DE" w:rsidRDefault="00725933" w:rsidP="00B14B38">
      <w:pPr>
        <w:spacing w:after="218" w:line="259" w:lineRule="auto"/>
        <w:rPr>
          <w:sz w:val="20"/>
          <w:szCs w:val="20"/>
        </w:rPr>
      </w:pPr>
    </w:p>
    <w:p w14:paraId="5B9C0834" w14:textId="77777777" w:rsidR="00725933" w:rsidRPr="00CD11DE" w:rsidRDefault="00725933" w:rsidP="00B14B38">
      <w:pPr>
        <w:spacing w:after="218" w:line="259" w:lineRule="auto"/>
        <w:rPr>
          <w:sz w:val="20"/>
          <w:szCs w:val="20"/>
        </w:rPr>
      </w:pPr>
    </w:p>
    <w:p w14:paraId="66802BD6" w14:textId="77777777" w:rsidR="00725933" w:rsidRPr="00CD11DE" w:rsidRDefault="00725933" w:rsidP="00B14B38">
      <w:pPr>
        <w:spacing w:after="218" w:line="259" w:lineRule="auto"/>
        <w:rPr>
          <w:sz w:val="20"/>
          <w:szCs w:val="20"/>
        </w:rPr>
      </w:pPr>
    </w:p>
    <w:p w14:paraId="74CB340D" w14:textId="77777777" w:rsidR="00725933" w:rsidRPr="00CD11DE" w:rsidRDefault="00725933" w:rsidP="00B14B38">
      <w:pPr>
        <w:spacing w:after="218" w:line="259" w:lineRule="auto"/>
        <w:rPr>
          <w:sz w:val="20"/>
          <w:szCs w:val="20"/>
        </w:rPr>
      </w:pPr>
    </w:p>
    <w:p w14:paraId="1D236013" w14:textId="77777777" w:rsidR="00F260C3" w:rsidRPr="00CD11DE" w:rsidRDefault="00F260C3" w:rsidP="00B14B38">
      <w:pPr>
        <w:spacing w:after="218" w:line="259" w:lineRule="auto"/>
        <w:rPr>
          <w:sz w:val="20"/>
          <w:szCs w:val="20"/>
        </w:rPr>
      </w:pPr>
    </w:p>
    <w:p w14:paraId="6C4ED59C" w14:textId="77777777" w:rsidR="00B14B38" w:rsidRPr="00CD11DE" w:rsidRDefault="00B14B38" w:rsidP="00B14B38">
      <w:pPr>
        <w:spacing w:after="218" w:line="259" w:lineRule="auto"/>
        <w:rPr>
          <w:sz w:val="20"/>
          <w:szCs w:val="20"/>
        </w:rPr>
      </w:pPr>
    </w:p>
    <w:p w14:paraId="1BD5E383" w14:textId="77777777" w:rsidR="00B14B38" w:rsidRPr="00CD11DE" w:rsidRDefault="00B14B38" w:rsidP="00B14B38">
      <w:pPr>
        <w:spacing w:after="218" w:line="259" w:lineRule="auto"/>
        <w:rPr>
          <w:sz w:val="20"/>
          <w:szCs w:val="20"/>
        </w:rPr>
      </w:pPr>
    </w:p>
    <w:p w14:paraId="5BC7011C" w14:textId="77777777" w:rsidR="00B14B38" w:rsidRPr="00CD11DE" w:rsidRDefault="00B14B38" w:rsidP="00B14B38">
      <w:pPr>
        <w:spacing w:after="218" w:line="259" w:lineRule="auto"/>
        <w:rPr>
          <w:sz w:val="20"/>
          <w:szCs w:val="20"/>
        </w:rPr>
      </w:pPr>
    </w:p>
    <w:p w14:paraId="5984D854" w14:textId="04F3028C" w:rsidR="00F8266F" w:rsidRPr="00C62D72" w:rsidRDefault="00D30D6B" w:rsidP="00285B0B">
      <w:pPr>
        <w:pStyle w:val="Heading1"/>
        <w:rPr>
          <w:rFonts w:ascii="Arial" w:hAnsi="Arial"/>
          <w:lang w:val="en-GB"/>
        </w:rPr>
      </w:pPr>
      <w:bookmarkStart w:id="424" w:name="_Toc201575424"/>
      <w:r w:rsidRPr="00C62D72">
        <w:rPr>
          <w:rFonts w:ascii="Arial" w:hAnsi="Arial"/>
          <w:lang w:val="en-GB"/>
        </w:rPr>
        <w:lastRenderedPageBreak/>
        <w:t xml:space="preserve">Capital </w:t>
      </w:r>
      <w:r w:rsidR="005455DD" w:rsidRPr="00C62D72">
        <w:rPr>
          <w:rFonts w:ascii="Arial" w:hAnsi="Arial"/>
          <w:lang w:val="en-GB"/>
        </w:rPr>
        <w:t>R</w:t>
      </w:r>
      <w:r w:rsidRPr="00C62D72">
        <w:rPr>
          <w:rFonts w:ascii="Arial" w:hAnsi="Arial"/>
          <w:lang w:val="en-GB"/>
        </w:rPr>
        <w:t>equirements</w:t>
      </w:r>
      <w:r w:rsidR="00E23204" w:rsidRPr="00C62D72">
        <w:rPr>
          <w:rFonts w:ascii="Arial" w:hAnsi="Arial"/>
          <w:lang w:val="en-GB"/>
        </w:rPr>
        <w:t xml:space="preserve"> </w:t>
      </w:r>
      <w:bookmarkEnd w:id="420"/>
      <w:r w:rsidRPr="00C62D72">
        <w:rPr>
          <w:rFonts w:ascii="Arial" w:hAnsi="Arial"/>
          <w:lang w:val="en-GB"/>
        </w:rPr>
        <w:t xml:space="preserve">and </w:t>
      </w:r>
      <w:r w:rsidR="005455DD" w:rsidRPr="00C62D72">
        <w:rPr>
          <w:rFonts w:ascii="Arial" w:hAnsi="Arial"/>
          <w:lang w:val="en-GB"/>
        </w:rPr>
        <w:t>R</w:t>
      </w:r>
      <w:r w:rsidRPr="00C62D72">
        <w:rPr>
          <w:rFonts w:ascii="Arial" w:hAnsi="Arial"/>
          <w:lang w:val="en-GB"/>
        </w:rPr>
        <w:t>esources</w:t>
      </w:r>
      <w:bookmarkEnd w:id="424"/>
      <w:r w:rsidR="009F0AFC" w:rsidRPr="00C62D72">
        <w:rPr>
          <w:rFonts w:ascii="Arial" w:hAnsi="Arial"/>
          <w:lang w:val="en-GB"/>
        </w:rPr>
        <w:t xml:space="preserve"> </w:t>
      </w:r>
    </w:p>
    <w:p w14:paraId="441B3392" w14:textId="77777777" w:rsidR="000B42C1" w:rsidRPr="00CD11DE" w:rsidRDefault="000B42C1" w:rsidP="000B42C1">
      <w:pPr>
        <w:ind w:left="-5"/>
        <w:rPr>
          <w:sz w:val="20"/>
          <w:szCs w:val="20"/>
        </w:rPr>
      </w:pPr>
      <w:r w:rsidRPr="00CD11DE">
        <w:rPr>
          <w:sz w:val="20"/>
          <w:szCs w:val="20"/>
        </w:rPr>
        <w:t>In line with regulatory guidance, Pillar 1 capital requirements are derived from the Bank’s assessment of the Capital Requirement for Credit Risk, Operational Risk and Market Risk (‘Pillar 1 Capital Requirement’).</w:t>
      </w:r>
    </w:p>
    <w:p w14:paraId="62963391" w14:textId="77777777" w:rsidR="000B42C1" w:rsidRPr="00CD11DE" w:rsidRDefault="000B42C1" w:rsidP="000B42C1">
      <w:pPr>
        <w:ind w:left="-5"/>
        <w:rPr>
          <w:sz w:val="20"/>
          <w:szCs w:val="20"/>
        </w:rPr>
      </w:pPr>
      <w:r w:rsidRPr="00CD11DE">
        <w:rPr>
          <w:sz w:val="20"/>
          <w:szCs w:val="20"/>
        </w:rPr>
        <w:t>The Bank adopts the standardised approach to credit risk and the basic indicator approach to operational risk to calculate the minimum Pillar 1 capital requirement. As the Bank’s overall net foreign-exchange position was less than 2% of its total own funds, the Bank has not reported any capital requirement for Pillar 1.</w:t>
      </w:r>
    </w:p>
    <w:p w14:paraId="37451F1D" w14:textId="77777777" w:rsidR="000B42C1" w:rsidRPr="00CD11DE" w:rsidRDefault="000B42C1" w:rsidP="000B42C1">
      <w:pPr>
        <w:ind w:left="-5"/>
        <w:rPr>
          <w:sz w:val="20"/>
          <w:szCs w:val="20"/>
        </w:rPr>
      </w:pPr>
      <w:r w:rsidRPr="00CD11DE">
        <w:rPr>
          <w:sz w:val="20"/>
          <w:szCs w:val="20"/>
        </w:rPr>
        <w:t xml:space="preserve">In addition to the risks covered under Pillar 1 (credit, market and operational risks), all other material risks to which the Bank is exposed were assessed as part of the Bank’s Internal Capital Adequacy Assessment Process (ICAAP). Financial and capital forecasts were prepared covering a three-year period incorporating all current and planned strategic initiatives, products and services, enabling the Board to assess the level of capital required to support both current and future activities.  </w:t>
      </w:r>
    </w:p>
    <w:p w14:paraId="71C7626A" w14:textId="77777777" w:rsidR="000B42C1" w:rsidRPr="00CD11DE" w:rsidRDefault="000B42C1" w:rsidP="000B42C1">
      <w:pPr>
        <w:ind w:left="-5"/>
        <w:rPr>
          <w:sz w:val="20"/>
          <w:szCs w:val="20"/>
        </w:rPr>
      </w:pPr>
      <w:r w:rsidRPr="00CD11DE">
        <w:rPr>
          <w:sz w:val="20"/>
          <w:szCs w:val="20"/>
        </w:rPr>
        <w:t xml:space="preserve">The ICAAP is undertaken at least annually and more frequently should the Bank’s strategic plans, forecasts or risk profile change. The results of the ICAAP indicate the minimum capital required to be maintained by the Bank to support current and future activities. The results are documented and approved by the Board and are assessed by the PRA as part of its supervisory review of the Bank. </w:t>
      </w:r>
    </w:p>
    <w:p w14:paraId="09177645" w14:textId="77777777" w:rsidR="000B42C1" w:rsidRPr="00CD11DE" w:rsidRDefault="000B42C1" w:rsidP="000B42C1">
      <w:pPr>
        <w:ind w:left="-5"/>
        <w:rPr>
          <w:sz w:val="20"/>
          <w:szCs w:val="20"/>
        </w:rPr>
      </w:pPr>
      <w:r w:rsidRPr="00CD11DE">
        <w:rPr>
          <w:sz w:val="20"/>
          <w:szCs w:val="20"/>
        </w:rPr>
        <w:t xml:space="preserve">The ICAAP is integrated in normal business activities. The impact on capital requirements of new, and changes to existing, business processes, products and services are assessed. Strategic decisions are made following an assessment of their impact on capital, ensuring adequate capital is maintained at all times and that it is efficiently utilised. </w:t>
      </w:r>
    </w:p>
    <w:p w14:paraId="6AFCA7B2" w14:textId="3DB7551E" w:rsidR="00D92D07" w:rsidRPr="00CD11DE" w:rsidRDefault="000B42C1" w:rsidP="000B42C1">
      <w:pPr>
        <w:ind w:left="-5"/>
        <w:rPr>
          <w:sz w:val="20"/>
          <w:szCs w:val="20"/>
        </w:rPr>
      </w:pPr>
      <w:r w:rsidRPr="00CD11DE">
        <w:rPr>
          <w:sz w:val="20"/>
          <w:szCs w:val="20"/>
        </w:rPr>
        <w:t xml:space="preserve">The ICAAP is considered by the PRA as part of its Supervisory Review and Evaluation Process (SREP) and is used in part to determine the Total Capital Requirement (TCR) for the Bank. The Board approved ICAAP will highlight risks faced by the business for which additional capital above Pillar 1 (8.00% of total risk weighted assets) is required. The additional capital will be part of the Bank’s Pillar 2A requirement which forms part of the organisation’s overall TCR requirement. Further information for years </w:t>
      </w:r>
      <w:r w:rsidR="0023087C">
        <w:rPr>
          <w:sz w:val="20"/>
          <w:szCs w:val="20"/>
        </w:rPr>
        <w:t>2024</w:t>
      </w:r>
      <w:r w:rsidR="002C17E9" w:rsidRPr="00CD11DE">
        <w:rPr>
          <w:sz w:val="20"/>
          <w:szCs w:val="20"/>
        </w:rPr>
        <w:t xml:space="preserve"> </w:t>
      </w:r>
      <w:r w:rsidRPr="00CD11DE">
        <w:rPr>
          <w:sz w:val="20"/>
          <w:szCs w:val="20"/>
        </w:rPr>
        <w:t xml:space="preserve">and </w:t>
      </w:r>
      <w:r w:rsidR="0023087C">
        <w:rPr>
          <w:sz w:val="20"/>
          <w:szCs w:val="20"/>
        </w:rPr>
        <w:t>2023</w:t>
      </w:r>
      <w:r w:rsidR="002C17E9" w:rsidRPr="00CD11DE">
        <w:rPr>
          <w:sz w:val="20"/>
          <w:szCs w:val="20"/>
        </w:rPr>
        <w:t xml:space="preserve"> </w:t>
      </w:r>
      <w:r w:rsidRPr="00CD11DE">
        <w:rPr>
          <w:sz w:val="20"/>
          <w:szCs w:val="20"/>
        </w:rPr>
        <w:t>can be found within Annex 1, template KM1.</w:t>
      </w:r>
      <w:r w:rsidR="00D92D07" w:rsidRPr="00CD11DE">
        <w:rPr>
          <w:sz w:val="20"/>
          <w:szCs w:val="20"/>
        </w:rPr>
        <w:t xml:space="preserve"> </w:t>
      </w:r>
    </w:p>
    <w:p w14:paraId="79BA388B" w14:textId="4AB24FC1" w:rsidR="003953AF" w:rsidRPr="00CD11DE" w:rsidRDefault="003953AF" w:rsidP="00756B64">
      <w:pPr>
        <w:ind w:left="-5"/>
        <w:rPr>
          <w:sz w:val="20"/>
          <w:szCs w:val="20"/>
        </w:rPr>
      </w:pPr>
      <w:bookmarkStart w:id="425" w:name="_Hlk114061846"/>
      <w:r w:rsidRPr="00CD11DE">
        <w:rPr>
          <w:sz w:val="20"/>
          <w:szCs w:val="20"/>
        </w:rPr>
        <w:t xml:space="preserve">Capital adequacy is monitored </w:t>
      </w:r>
      <w:r w:rsidR="001E4AAB" w:rsidRPr="00CD11DE">
        <w:rPr>
          <w:sz w:val="20"/>
          <w:szCs w:val="20"/>
        </w:rPr>
        <w:t>as per risk appetite</w:t>
      </w:r>
      <w:r w:rsidRPr="00CD11DE">
        <w:rPr>
          <w:sz w:val="20"/>
          <w:szCs w:val="20"/>
        </w:rPr>
        <w:t xml:space="preserve"> by ALCO</w:t>
      </w:r>
      <w:r w:rsidR="001E4AAB" w:rsidRPr="00CD11DE">
        <w:rPr>
          <w:sz w:val="20"/>
          <w:szCs w:val="20"/>
        </w:rPr>
        <w:t xml:space="preserve"> and reported to</w:t>
      </w:r>
      <w:r w:rsidR="00A73B18" w:rsidRPr="00CD11DE">
        <w:rPr>
          <w:sz w:val="20"/>
          <w:szCs w:val="20"/>
        </w:rPr>
        <w:t xml:space="preserve"> ERC, BRC</w:t>
      </w:r>
      <w:r w:rsidRPr="00CD11DE">
        <w:rPr>
          <w:sz w:val="20"/>
          <w:szCs w:val="20"/>
        </w:rPr>
        <w:t xml:space="preserve"> and the Board. </w:t>
      </w:r>
    </w:p>
    <w:p w14:paraId="78182773" w14:textId="77777777" w:rsidR="003953AF" w:rsidRPr="00C62D72" w:rsidRDefault="003953AF" w:rsidP="0023179E">
      <w:pPr>
        <w:pStyle w:val="Heading2"/>
        <w:rPr>
          <w:lang w:val="en-GB"/>
        </w:rPr>
      </w:pPr>
      <w:bookmarkStart w:id="426" w:name="_Toc492021128"/>
      <w:bookmarkStart w:id="427" w:name="_Toc201575425"/>
      <w:bookmarkEnd w:id="425"/>
      <w:r w:rsidRPr="00C62D72">
        <w:rPr>
          <w:lang w:val="en-GB"/>
        </w:rPr>
        <w:t>Pillar 1 Capital</w:t>
      </w:r>
      <w:bookmarkEnd w:id="426"/>
      <w:bookmarkEnd w:id="427"/>
      <w:r w:rsidRPr="00C62D72">
        <w:rPr>
          <w:lang w:val="en-GB"/>
        </w:rPr>
        <w:t xml:space="preserve"> </w:t>
      </w:r>
    </w:p>
    <w:p w14:paraId="51AE69D4" w14:textId="2729A783" w:rsidR="00FA1626" w:rsidRPr="00CD11DE" w:rsidRDefault="00FA1626" w:rsidP="00756B64">
      <w:pPr>
        <w:rPr>
          <w:sz w:val="20"/>
          <w:szCs w:val="20"/>
        </w:rPr>
      </w:pPr>
      <w:r w:rsidRPr="00CD11DE">
        <w:rPr>
          <w:sz w:val="20"/>
          <w:szCs w:val="20"/>
        </w:rPr>
        <w:t xml:space="preserve">The Bank’s overall capital requirement under Pillar 1 is calculated by adding together the capital requirements for credit risk, market risk, and operational risk.  </w:t>
      </w:r>
      <w:r w:rsidR="00063C49" w:rsidRPr="00CD11DE">
        <w:rPr>
          <w:sz w:val="20"/>
          <w:szCs w:val="20"/>
        </w:rPr>
        <w:t xml:space="preserve">However, as per Article 351 of the CRR, the net </w:t>
      </w:r>
      <w:r w:rsidR="00D85568" w:rsidRPr="00CD11DE">
        <w:rPr>
          <w:sz w:val="20"/>
          <w:szCs w:val="20"/>
        </w:rPr>
        <w:t>foreign</w:t>
      </w:r>
      <w:r w:rsidR="00D0638A" w:rsidRPr="00CD11DE">
        <w:rPr>
          <w:sz w:val="20"/>
          <w:szCs w:val="20"/>
        </w:rPr>
        <w:t xml:space="preserve"> exchange </w:t>
      </w:r>
      <w:r w:rsidR="00063C49" w:rsidRPr="00CD11DE">
        <w:rPr>
          <w:sz w:val="20"/>
          <w:szCs w:val="20"/>
        </w:rPr>
        <w:t xml:space="preserve">holding of the Bank is </w:t>
      </w:r>
      <w:r w:rsidR="00D0638A" w:rsidRPr="00CD11DE">
        <w:rPr>
          <w:sz w:val="20"/>
          <w:szCs w:val="20"/>
        </w:rPr>
        <w:t xml:space="preserve">below the </w:t>
      </w:r>
      <w:r w:rsidR="00063C49" w:rsidRPr="00CD11DE">
        <w:rPr>
          <w:sz w:val="20"/>
          <w:szCs w:val="20"/>
        </w:rPr>
        <w:t xml:space="preserve">de </w:t>
      </w:r>
      <w:r w:rsidR="00AD51DC" w:rsidRPr="00CD11DE">
        <w:rPr>
          <w:sz w:val="20"/>
          <w:szCs w:val="20"/>
        </w:rPr>
        <w:t>minim</w:t>
      </w:r>
      <w:r w:rsidR="00D85568" w:rsidRPr="00CD11DE">
        <w:rPr>
          <w:sz w:val="20"/>
          <w:szCs w:val="20"/>
        </w:rPr>
        <w:t>i</w:t>
      </w:r>
      <w:r w:rsidR="00AD51DC" w:rsidRPr="00CD11DE">
        <w:rPr>
          <w:sz w:val="20"/>
          <w:szCs w:val="20"/>
        </w:rPr>
        <w:t>s</w:t>
      </w:r>
      <w:r w:rsidR="00063C49" w:rsidRPr="00CD11DE">
        <w:rPr>
          <w:sz w:val="20"/>
          <w:szCs w:val="20"/>
        </w:rPr>
        <w:t xml:space="preserve"> and thus the Bank does not hold Pillar 1 capital for </w:t>
      </w:r>
      <w:r w:rsidR="00D47246" w:rsidRPr="00CD11DE">
        <w:rPr>
          <w:sz w:val="20"/>
          <w:szCs w:val="20"/>
        </w:rPr>
        <w:t>market risk.</w:t>
      </w:r>
    </w:p>
    <w:p w14:paraId="2B1EB805" w14:textId="3A859031" w:rsidR="00FA1626" w:rsidRPr="00CD11DE" w:rsidRDefault="00FA1626" w:rsidP="00756B64">
      <w:pPr>
        <w:rPr>
          <w:sz w:val="20"/>
          <w:szCs w:val="20"/>
        </w:rPr>
      </w:pPr>
      <w:r w:rsidRPr="00CD11DE">
        <w:rPr>
          <w:sz w:val="20"/>
          <w:szCs w:val="20"/>
        </w:rPr>
        <w:t xml:space="preserve">The following table shows the Bank’s capital requirement and capital surplus under Pillar 1 as at </w:t>
      </w:r>
      <w:r w:rsidR="00AF5B29" w:rsidRPr="00CD11DE">
        <w:rPr>
          <w:sz w:val="20"/>
          <w:szCs w:val="20"/>
        </w:rPr>
        <w:t>31</w:t>
      </w:r>
      <w:r w:rsidR="0088576D" w:rsidRPr="00CD11DE">
        <w:rPr>
          <w:sz w:val="20"/>
          <w:szCs w:val="20"/>
          <w:vertAlign w:val="superscript"/>
        </w:rPr>
        <w:t>st</w:t>
      </w:r>
      <w:r w:rsidR="00AF5B29" w:rsidRPr="00CD11DE">
        <w:rPr>
          <w:sz w:val="20"/>
          <w:szCs w:val="20"/>
        </w:rPr>
        <w:t xml:space="preserve"> December</w:t>
      </w:r>
      <w:r w:rsidRPr="00CD11DE">
        <w:rPr>
          <w:sz w:val="20"/>
          <w:szCs w:val="20"/>
        </w:rPr>
        <w:t xml:space="preserve">. </w:t>
      </w:r>
    </w:p>
    <w:p w14:paraId="489DD8BE" w14:textId="44186F30" w:rsidR="0088576D" w:rsidRPr="00CD11DE" w:rsidRDefault="0088576D"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21</w:t>
      </w:r>
      <w:r w:rsidRPr="00CD11DE">
        <w:fldChar w:fldCharType="end"/>
      </w:r>
      <w:r w:rsidRPr="00CD11DE">
        <w:t>: Pillar 1 requirement and total capital resource</w:t>
      </w:r>
    </w:p>
    <w:tbl>
      <w:tblPr>
        <w:tblpPr w:leftFromText="180" w:rightFromText="180" w:vertAnchor="text"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1977"/>
        <w:gridCol w:w="1977"/>
      </w:tblGrid>
      <w:tr w:rsidR="00E6237A" w:rsidRPr="00CD11DE" w14:paraId="22F27A30" w14:textId="77777777" w:rsidTr="006F3279">
        <w:trPr>
          <w:trHeight w:val="315"/>
        </w:trPr>
        <w:tc>
          <w:tcPr>
            <w:tcW w:w="2810" w:type="pct"/>
            <w:shd w:val="clear" w:color="auto" w:fill="06B1D6" w:themeFill="accent1"/>
            <w:vAlign w:val="center"/>
            <w:hideMark/>
          </w:tcPr>
          <w:p w14:paraId="61609EB9" w14:textId="77777777" w:rsidR="00E6237A" w:rsidRPr="00CD11DE" w:rsidRDefault="00E6237A" w:rsidP="00E6237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w:t>
            </w:r>
          </w:p>
        </w:tc>
        <w:tc>
          <w:tcPr>
            <w:tcW w:w="1095" w:type="pct"/>
            <w:shd w:val="clear" w:color="auto" w:fill="06B1D6" w:themeFill="accent1"/>
            <w:vAlign w:val="center"/>
            <w:hideMark/>
          </w:tcPr>
          <w:p w14:paraId="7D754DFA" w14:textId="0DF5DFA5" w:rsidR="00673D02" w:rsidRPr="00CD11DE" w:rsidRDefault="0023087C" w:rsidP="00B35480">
            <w:pPr>
              <w:keepLines w:val="0"/>
              <w:spacing w:after="0" w:line="240" w:lineRule="auto"/>
              <w:jc w:val="right"/>
              <w:rPr>
                <w:rFonts w:eastAsia="Times New Roman"/>
                <w:b/>
                <w:bCs/>
                <w:color w:val="FFFFFF"/>
                <w:sz w:val="18"/>
                <w:szCs w:val="18"/>
              </w:rPr>
            </w:pPr>
            <w:r>
              <w:rPr>
                <w:rFonts w:eastAsia="Times New Roman"/>
                <w:b/>
                <w:bCs/>
                <w:color w:val="FFFFFF"/>
                <w:sz w:val="18"/>
                <w:szCs w:val="18"/>
              </w:rPr>
              <w:t>2024</w:t>
            </w:r>
          </w:p>
          <w:p w14:paraId="52B61538" w14:textId="098CE68C" w:rsidR="00E6237A" w:rsidRPr="00CD11DE" w:rsidRDefault="00E6237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1095" w:type="pct"/>
            <w:shd w:val="clear" w:color="auto" w:fill="06B1D6" w:themeFill="accent1"/>
            <w:vAlign w:val="center"/>
            <w:hideMark/>
          </w:tcPr>
          <w:p w14:paraId="085CD3B1" w14:textId="4C08C0B8" w:rsidR="00673D02" w:rsidRPr="00CD11DE" w:rsidRDefault="0023087C" w:rsidP="00B35480">
            <w:pPr>
              <w:keepLines w:val="0"/>
              <w:spacing w:after="0" w:line="240" w:lineRule="auto"/>
              <w:jc w:val="right"/>
              <w:rPr>
                <w:rFonts w:eastAsia="Times New Roman"/>
                <w:b/>
                <w:bCs/>
                <w:color w:val="FFFFFF"/>
                <w:sz w:val="18"/>
                <w:szCs w:val="18"/>
              </w:rPr>
            </w:pPr>
            <w:r>
              <w:rPr>
                <w:rFonts w:eastAsia="Times New Roman"/>
                <w:b/>
                <w:bCs/>
                <w:color w:val="FFFFFF"/>
                <w:sz w:val="18"/>
                <w:szCs w:val="18"/>
              </w:rPr>
              <w:t>2023</w:t>
            </w:r>
          </w:p>
          <w:p w14:paraId="2E58E268" w14:textId="183D7276" w:rsidR="00E6237A" w:rsidRPr="00CD11DE" w:rsidRDefault="00E6237A"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173B0E" w:rsidRPr="00CD11DE" w14:paraId="53A8547E" w14:textId="77777777" w:rsidTr="006F3279">
        <w:trPr>
          <w:trHeight w:val="315"/>
        </w:trPr>
        <w:tc>
          <w:tcPr>
            <w:tcW w:w="2810" w:type="pct"/>
            <w:shd w:val="clear" w:color="auto" w:fill="06B1D6" w:themeFill="accent1"/>
            <w:vAlign w:val="center"/>
            <w:hideMark/>
          </w:tcPr>
          <w:p w14:paraId="4B464513"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 Capital Resource</w:t>
            </w:r>
          </w:p>
        </w:tc>
        <w:tc>
          <w:tcPr>
            <w:tcW w:w="1095" w:type="pct"/>
            <w:shd w:val="clear" w:color="auto" w:fill="auto"/>
          </w:tcPr>
          <w:p w14:paraId="61D4C83C" w14:textId="62D037FC" w:rsidR="00173B0E" w:rsidRPr="00173B0E" w:rsidRDefault="00173B0E" w:rsidP="00173B0E">
            <w:pPr>
              <w:keepLines w:val="0"/>
              <w:spacing w:after="0" w:line="240" w:lineRule="auto"/>
              <w:jc w:val="right"/>
              <w:rPr>
                <w:rFonts w:eastAsia="Times New Roman"/>
                <w:sz w:val="18"/>
                <w:szCs w:val="18"/>
              </w:rPr>
            </w:pPr>
            <w:r w:rsidRPr="007E0530">
              <w:rPr>
                <w:sz w:val="18"/>
                <w:szCs w:val="18"/>
              </w:rPr>
              <w:t>22</w:t>
            </w:r>
            <w:r w:rsidR="008619CF">
              <w:rPr>
                <w:sz w:val="18"/>
                <w:szCs w:val="18"/>
              </w:rPr>
              <w:t>4.9</w:t>
            </w:r>
          </w:p>
        </w:tc>
        <w:tc>
          <w:tcPr>
            <w:tcW w:w="1095" w:type="pct"/>
            <w:shd w:val="clear" w:color="auto" w:fill="auto"/>
            <w:vAlign w:val="center"/>
            <w:hideMark/>
          </w:tcPr>
          <w:p w14:paraId="3B1299F0" w14:textId="6900A45F" w:rsidR="00173B0E" w:rsidRPr="00CD11DE" w:rsidRDefault="00173B0E" w:rsidP="00173B0E">
            <w:pPr>
              <w:keepLines w:val="0"/>
              <w:spacing w:after="0" w:line="240" w:lineRule="auto"/>
              <w:jc w:val="right"/>
              <w:rPr>
                <w:rFonts w:eastAsia="Times New Roman"/>
                <w:sz w:val="18"/>
                <w:szCs w:val="18"/>
              </w:rPr>
            </w:pPr>
            <w:r w:rsidRPr="00CD11DE">
              <w:rPr>
                <w:rFonts w:eastAsia="Times New Roman"/>
                <w:sz w:val="18"/>
                <w:szCs w:val="18"/>
              </w:rPr>
              <w:t>205.5</w:t>
            </w:r>
          </w:p>
        </w:tc>
      </w:tr>
      <w:tr w:rsidR="00173B0E" w:rsidRPr="00CD11DE" w14:paraId="0B3A6EF1" w14:textId="77777777" w:rsidTr="006F3279">
        <w:trPr>
          <w:trHeight w:val="342"/>
        </w:trPr>
        <w:tc>
          <w:tcPr>
            <w:tcW w:w="2810" w:type="pct"/>
            <w:shd w:val="clear" w:color="auto" w:fill="06B1D6" w:themeFill="accent1"/>
            <w:vAlign w:val="center"/>
            <w:hideMark/>
          </w:tcPr>
          <w:p w14:paraId="7BBE4A79"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 Pillar 1 Capital Requirement</w:t>
            </w:r>
          </w:p>
        </w:tc>
        <w:tc>
          <w:tcPr>
            <w:tcW w:w="1095" w:type="pct"/>
            <w:shd w:val="clear" w:color="auto" w:fill="auto"/>
          </w:tcPr>
          <w:p w14:paraId="4E3C08F4" w14:textId="2788ADFA" w:rsidR="00173B0E" w:rsidRPr="00173B0E" w:rsidRDefault="00173B0E" w:rsidP="00173B0E">
            <w:pPr>
              <w:keepLines w:val="0"/>
              <w:spacing w:after="0" w:line="240" w:lineRule="auto"/>
              <w:jc w:val="right"/>
              <w:rPr>
                <w:rFonts w:eastAsia="Times New Roman"/>
                <w:sz w:val="18"/>
                <w:szCs w:val="18"/>
              </w:rPr>
            </w:pPr>
            <w:r w:rsidRPr="007E0530">
              <w:rPr>
                <w:sz w:val="18"/>
                <w:szCs w:val="18"/>
              </w:rPr>
              <w:t>10</w:t>
            </w:r>
            <w:r w:rsidR="008619CF">
              <w:rPr>
                <w:sz w:val="18"/>
                <w:szCs w:val="18"/>
              </w:rPr>
              <w:t>4</w:t>
            </w:r>
            <w:r w:rsidRPr="007E0530">
              <w:rPr>
                <w:sz w:val="18"/>
                <w:szCs w:val="18"/>
              </w:rPr>
              <w:t>.</w:t>
            </w:r>
            <w:r w:rsidR="00F42330">
              <w:rPr>
                <w:sz w:val="18"/>
                <w:szCs w:val="18"/>
              </w:rPr>
              <w:t>7</w:t>
            </w:r>
          </w:p>
        </w:tc>
        <w:tc>
          <w:tcPr>
            <w:tcW w:w="1095" w:type="pct"/>
            <w:shd w:val="clear" w:color="auto" w:fill="auto"/>
            <w:vAlign w:val="center"/>
            <w:hideMark/>
          </w:tcPr>
          <w:p w14:paraId="7030625D" w14:textId="41872790" w:rsidR="00173B0E" w:rsidRPr="00CD11DE" w:rsidRDefault="00173B0E" w:rsidP="00173B0E">
            <w:pPr>
              <w:keepLines w:val="0"/>
              <w:spacing w:after="0" w:line="240" w:lineRule="auto"/>
              <w:jc w:val="right"/>
              <w:rPr>
                <w:rFonts w:eastAsia="Times New Roman"/>
                <w:sz w:val="18"/>
                <w:szCs w:val="18"/>
              </w:rPr>
            </w:pPr>
            <w:r w:rsidRPr="00CD11DE">
              <w:rPr>
                <w:rFonts w:eastAsia="Times New Roman"/>
                <w:sz w:val="18"/>
                <w:szCs w:val="18"/>
              </w:rPr>
              <w:t>84.7</w:t>
            </w:r>
          </w:p>
        </w:tc>
      </w:tr>
      <w:tr w:rsidR="00173B0E" w:rsidRPr="00CD11DE" w14:paraId="6433935D" w14:textId="77777777" w:rsidTr="006F3279">
        <w:trPr>
          <w:trHeight w:val="315"/>
        </w:trPr>
        <w:tc>
          <w:tcPr>
            <w:tcW w:w="2810" w:type="pct"/>
            <w:shd w:val="clear" w:color="auto" w:fill="06B1D6" w:themeFill="accent1"/>
            <w:vAlign w:val="center"/>
          </w:tcPr>
          <w:p w14:paraId="73C8B47C" w14:textId="1203CBEC"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Surplus over Pillar 1 requirements </w:t>
            </w:r>
          </w:p>
        </w:tc>
        <w:tc>
          <w:tcPr>
            <w:tcW w:w="1095" w:type="pct"/>
            <w:shd w:val="clear" w:color="auto" w:fill="auto"/>
          </w:tcPr>
          <w:p w14:paraId="75C0DB93" w14:textId="651972A0" w:rsidR="00173B0E" w:rsidRPr="00173B0E" w:rsidRDefault="00173B0E" w:rsidP="00173B0E">
            <w:pPr>
              <w:keepLines w:val="0"/>
              <w:spacing w:after="0" w:line="240" w:lineRule="auto"/>
              <w:jc w:val="right"/>
              <w:rPr>
                <w:rFonts w:eastAsia="Times New Roman"/>
                <w:sz w:val="18"/>
                <w:szCs w:val="18"/>
              </w:rPr>
            </w:pPr>
            <w:r w:rsidRPr="007E0530">
              <w:rPr>
                <w:sz w:val="18"/>
                <w:szCs w:val="18"/>
              </w:rPr>
              <w:t>12</w:t>
            </w:r>
            <w:r w:rsidR="008619CF">
              <w:rPr>
                <w:sz w:val="18"/>
                <w:szCs w:val="18"/>
              </w:rPr>
              <w:t>0.</w:t>
            </w:r>
            <w:r w:rsidR="00F42330">
              <w:rPr>
                <w:sz w:val="18"/>
                <w:szCs w:val="18"/>
              </w:rPr>
              <w:t>2</w:t>
            </w:r>
          </w:p>
        </w:tc>
        <w:tc>
          <w:tcPr>
            <w:tcW w:w="1095" w:type="pct"/>
            <w:shd w:val="clear" w:color="auto" w:fill="auto"/>
            <w:vAlign w:val="center"/>
          </w:tcPr>
          <w:p w14:paraId="02B49137" w14:textId="297BA236" w:rsidR="00173B0E" w:rsidRPr="00CD11DE" w:rsidRDefault="00173B0E" w:rsidP="00173B0E">
            <w:pPr>
              <w:keepLines w:val="0"/>
              <w:spacing w:after="0" w:line="240" w:lineRule="auto"/>
              <w:jc w:val="right"/>
              <w:rPr>
                <w:rFonts w:eastAsia="Times New Roman"/>
                <w:sz w:val="18"/>
                <w:szCs w:val="18"/>
              </w:rPr>
            </w:pPr>
            <w:r w:rsidRPr="00CD11DE">
              <w:rPr>
                <w:rFonts w:eastAsia="Times New Roman"/>
                <w:sz w:val="18"/>
                <w:szCs w:val="18"/>
              </w:rPr>
              <w:t>120.8</w:t>
            </w:r>
          </w:p>
        </w:tc>
      </w:tr>
    </w:tbl>
    <w:p w14:paraId="54864EAA" w14:textId="01B6539D" w:rsidR="001D2BD5" w:rsidRPr="00CD11DE" w:rsidRDefault="001D2BD5" w:rsidP="00B35480">
      <w:pPr>
        <w:keepLines w:val="0"/>
        <w:spacing w:after="0" w:line="240" w:lineRule="auto"/>
        <w:jc w:val="right"/>
        <w:rPr>
          <w:b/>
          <w:sz w:val="20"/>
          <w:szCs w:val="20"/>
        </w:rPr>
      </w:pPr>
      <w:bookmarkStart w:id="428" w:name="_Toc492021129"/>
    </w:p>
    <w:p w14:paraId="3F84A819" w14:textId="77777777" w:rsidR="00FA1626" w:rsidRPr="00C62D72" w:rsidRDefault="00FA1626" w:rsidP="0023179E">
      <w:pPr>
        <w:pStyle w:val="Heading2"/>
        <w:rPr>
          <w:lang w:val="en-GB"/>
        </w:rPr>
      </w:pPr>
      <w:bookmarkStart w:id="429" w:name="_Toc201575426"/>
      <w:r w:rsidRPr="00C62D72">
        <w:rPr>
          <w:lang w:val="en-GB"/>
        </w:rPr>
        <w:lastRenderedPageBreak/>
        <w:t xml:space="preserve">Total </w:t>
      </w:r>
      <w:r w:rsidR="00F91976" w:rsidRPr="00C62D72">
        <w:rPr>
          <w:lang w:val="en-GB"/>
        </w:rPr>
        <w:t>Capital Resources</w:t>
      </w:r>
      <w:bookmarkEnd w:id="428"/>
      <w:bookmarkEnd w:id="429"/>
      <w:r w:rsidR="00F91976" w:rsidRPr="00C62D72">
        <w:rPr>
          <w:lang w:val="en-GB"/>
        </w:rPr>
        <w:t xml:space="preserve"> </w:t>
      </w:r>
    </w:p>
    <w:p w14:paraId="5F31A6D7" w14:textId="23236DAF" w:rsidR="00FA1626" w:rsidRPr="00CD11DE" w:rsidRDefault="00FA1626" w:rsidP="00756B64">
      <w:pPr>
        <w:rPr>
          <w:sz w:val="20"/>
          <w:szCs w:val="20"/>
        </w:rPr>
      </w:pPr>
      <w:r w:rsidRPr="00CD11DE">
        <w:rPr>
          <w:sz w:val="20"/>
          <w:szCs w:val="20"/>
        </w:rPr>
        <w:t xml:space="preserve">The following table shows the composition of the </w:t>
      </w:r>
      <w:r w:rsidR="001B56D2" w:rsidRPr="00CD11DE">
        <w:rPr>
          <w:sz w:val="20"/>
          <w:szCs w:val="20"/>
        </w:rPr>
        <w:t>Bank’s</w:t>
      </w:r>
      <w:r w:rsidRPr="00CD11DE">
        <w:rPr>
          <w:sz w:val="20"/>
          <w:szCs w:val="20"/>
        </w:rPr>
        <w:t xml:space="preserve"> regulatory capital position as at </w:t>
      </w:r>
      <w:r w:rsidR="00AF5B29" w:rsidRPr="00CD11DE">
        <w:rPr>
          <w:sz w:val="20"/>
          <w:szCs w:val="20"/>
        </w:rPr>
        <w:t>31</w:t>
      </w:r>
      <w:r w:rsidR="00EC2893" w:rsidRPr="00CD11DE">
        <w:rPr>
          <w:sz w:val="20"/>
          <w:szCs w:val="20"/>
          <w:vertAlign w:val="superscript"/>
        </w:rPr>
        <w:t>st</w:t>
      </w:r>
      <w:r w:rsidR="00EC2893" w:rsidRPr="00CD11DE">
        <w:rPr>
          <w:sz w:val="20"/>
          <w:szCs w:val="20"/>
        </w:rPr>
        <w:t xml:space="preserve"> </w:t>
      </w:r>
      <w:r w:rsidR="00AF5B29" w:rsidRPr="00CD11DE">
        <w:rPr>
          <w:sz w:val="20"/>
          <w:szCs w:val="20"/>
        </w:rPr>
        <w:t xml:space="preserve">December </w:t>
      </w:r>
      <w:r w:rsidR="0023087C">
        <w:rPr>
          <w:sz w:val="20"/>
          <w:szCs w:val="20"/>
        </w:rPr>
        <w:t>2024</w:t>
      </w:r>
      <w:r w:rsidR="002C17E9" w:rsidRPr="00CD11DE">
        <w:rPr>
          <w:sz w:val="20"/>
          <w:szCs w:val="20"/>
        </w:rPr>
        <w:t xml:space="preserve"> </w:t>
      </w:r>
      <w:r w:rsidRPr="00CD11DE">
        <w:rPr>
          <w:sz w:val="20"/>
          <w:szCs w:val="20"/>
        </w:rPr>
        <w:t xml:space="preserve">and at </w:t>
      </w:r>
      <w:r w:rsidR="000D2BE9" w:rsidRPr="00CD11DE">
        <w:rPr>
          <w:sz w:val="20"/>
          <w:szCs w:val="20"/>
        </w:rPr>
        <w:t>31</w:t>
      </w:r>
      <w:r w:rsidR="00EC2893" w:rsidRPr="00CD11DE">
        <w:rPr>
          <w:sz w:val="20"/>
          <w:szCs w:val="20"/>
          <w:vertAlign w:val="superscript"/>
        </w:rPr>
        <w:t>st</w:t>
      </w:r>
      <w:r w:rsidR="00EC2893" w:rsidRPr="00CD11DE">
        <w:rPr>
          <w:sz w:val="20"/>
          <w:szCs w:val="20"/>
        </w:rPr>
        <w:t xml:space="preserve"> </w:t>
      </w:r>
      <w:r w:rsidR="000D2BE9" w:rsidRPr="00CD11DE">
        <w:rPr>
          <w:sz w:val="20"/>
          <w:szCs w:val="20"/>
        </w:rPr>
        <w:t xml:space="preserve">December </w:t>
      </w:r>
      <w:r w:rsidR="0023087C">
        <w:rPr>
          <w:sz w:val="20"/>
          <w:szCs w:val="20"/>
        </w:rPr>
        <w:t>2023</w:t>
      </w:r>
      <w:r w:rsidRPr="00CD11DE">
        <w:rPr>
          <w:sz w:val="20"/>
          <w:szCs w:val="20"/>
        </w:rPr>
        <w:t xml:space="preserve">. </w:t>
      </w:r>
    </w:p>
    <w:p w14:paraId="510014BD" w14:textId="6FD72DDD" w:rsidR="00062EF1" w:rsidRPr="00CD11DE" w:rsidRDefault="00062EF1"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22</w:t>
      </w:r>
      <w:r w:rsidRPr="00CD11DE">
        <w:fldChar w:fldCharType="end"/>
      </w:r>
      <w:r w:rsidRPr="00CD11DE">
        <w:t>: Overview of RWA &amp; Pillar I (calculated using standardised approach)</w:t>
      </w:r>
    </w:p>
    <w:tbl>
      <w:tblPr>
        <w:tblW w:w="5000" w:type="pct"/>
        <w:tblLook w:val="04A0" w:firstRow="1" w:lastRow="0" w:firstColumn="1" w:lastColumn="0" w:noHBand="0" w:noVBand="1"/>
      </w:tblPr>
      <w:tblGrid>
        <w:gridCol w:w="3052"/>
        <w:gridCol w:w="1580"/>
        <w:gridCol w:w="1461"/>
        <w:gridCol w:w="1461"/>
        <w:gridCol w:w="1463"/>
      </w:tblGrid>
      <w:tr w:rsidR="00BB5BD3" w:rsidRPr="00CD11DE" w14:paraId="57CB8746" w14:textId="77777777" w:rsidTr="006F3279">
        <w:trPr>
          <w:trHeight w:val="767"/>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6B68CF88" w14:textId="77777777" w:rsidR="00BB5BD3" w:rsidRPr="00CD11DE" w:rsidRDefault="00BB5BD3" w:rsidP="00BB5BD3">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w:t>
            </w:r>
          </w:p>
        </w:tc>
        <w:tc>
          <w:tcPr>
            <w:tcW w:w="876" w:type="pct"/>
            <w:tcBorders>
              <w:top w:val="single" w:sz="8" w:space="0" w:color="FFFFFF"/>
              <w:left w:val="nil"/>
              <w:bottom w:val="nil"/>
              <w:right w:val="single" w:sz="8" w:space="0" w:color="FFFFFF"/>
            </w:tcBorders>
            <w:shd w:val="clear" w:color="auto" w:fill="06B1D6" w:themeFill="accent1"/>
            <w:vAlign w:val="center"/>
            <w:hideMark/>
          </w:tcPr>
          <w:p w14:paraId="0EBA1999" w14:textId="21338E72" w:rsidR="00BB5BD3" w:rsidRPr="00CD11DE" w:rsidRDefault="00BB5BD3" w:rsidP="00F260C3">
            <w:pPr>
              <w:keepLines w:val="0"/>
              <w:spacing w:after="0" w:line="240" w:lineRule="auto"/>
              <w:jc w:val="right"/>
              <w:rPr>
                <w:rFonts w:eastAsia="Times New Roman"/>
                <w:b/>
                <w:bCs/>
                <w:color w:val="FFFFFF"/>
                <w:sz w:val="18"/>
                <w:szCs w:val="18"/>
              </w:rPr>
            </w:pPr>
            <w:r w:rsidRPr="00CD11DE">
              <w:rPr>
                <w:b/>
                <w:bCs/>
                <w:color w:val="FFFFFF"/>
                <w:sz w:val="18"/>
                <w:szCs w:val="18"/>
              </w:rPr>
              <w:t xml:space="preserve">31 December </w:t>
            </w:r>
            <w:r w:rsidR="0023087C">
              <w:rPr>
                <w:b/>
                <w:bCs/>
                <w:color w:val="FFFFFF"/>
                <w:sz w:val="18"/>
                <w:szCs w:val="18"/>
              </w:rPr>
              <w:t>2024</w:t>
            </w:r>
            <w:r w:rsidRPr="00CD11DE">
              <w:rPr>
                <w:b/>
                <w:bCs/>
                <w:color w:val="FFFFFF"/>
                <w:sz w:val="18"/>
                <w:szCs w:val="18"/>
              </w:rPr>
              <w:t xml:space="preserve"> RWA</w:t>
            </w:r>
            <w:r w:rsidRPr="00CD11DE">
              <w:rPr>
                <w:b/>
                <w:bCs/>
                <w:color w:val="FFFFFF"/>
                <w:sz w:val="18"/>
                <w:szCs w:val="18"/>
              </w:rPr>
              <w:br/>
              <w:t>(£m)</w:t>
            </w:r>
          </w:p>
        </w:tc>
        <w:tc>
          <w:tcPr>
            <w:tcW w:w="810" w:type="pct"/>
            <w:tcBorders>
              <w:top w:val="single" w:sz="8" w:space="0" w:color="FFFFFF"/>
              <w:left w:val="nil"/>
              <w:bottom w:val="nil"/>
              <w:right w:val="single" w:sz="8" w:space="0" w:color="FFFFFF"/>
            </w:tcBorders>
            <w:shd w:val="clear" w:color="auto" w:fill="06B1D6" w:themeFill="accent1"/>
            <w:vAlign w:val="center"/>
            <w:hideMark/>
          </w:tcPr>
          <w:p w14:paraId="5EB53562" w14:textId="2C329773" w:rsidR="00BB5BD3" w:rsidRPr="00CD11DE" w:rsidRDefault="00BB5BD3" w:rsidP="00F260C3">
            <w:pPr>
              <w:keepLines w:val="0"/>
              <w:spacing w:after="0" w:line="240" w:lineRule="auto"/>
              <w:jc w:val="right"/>
              <w:rPr>
                <w:rFonts w:eastAsia="Times New Roman"/>
                <w:b/>
                <w:bCs/>
                <w:color w:val="FFFFFF"/>
                <w:sz w:val="18"/>
                <w:szCs w:val="18"/>
              </w:rPr>
            </w:pPr>
            <w:r w:rsidRPr="00CD11DE">
              <w:rPr>
                <w:b/>
                <w:bCs/>
                <w:color w:val="FFFFFF"/>
                <w:sz w:val="18"/>
                <w:szCs w:val="18"/>
              </w:rPr>
              <w:t xml:space="preserve">Pillar 1 Capital Requirement </w:t>
            </w:r>
            <w:r w:rsidRPr="00CD11DE">
              <w:rPr>
                <w:b/>
                <w:bCs/>
                <w:color w:val="FFFFFF"/>
                <w:sz w:val="18"/>
                <w:szCs w:val="18"/>
              </w:rPr>
              <w:br/>
              <w:t>(£m)</w:t>
            </w:r>
          </w:p>
        </w:tc>
        <w:tc>
          <w:tcPr>
            <w:tcW w:w="810" w:type="pct"/>
            <w:tcBorders>
              <w:top w:val="single" w:sz="8" w:space="0" w:color="FFFFFF"/>
              <w:left w:val="nil"/>
              <w:bottom w:val="nil"/>
              <w:right w:val="single" w:sz="8" w:space="0" w:color="FFFFFF"/>
            </w:tcBorders>
            <w:shd w:val="clear" w:color="auto" w:fill="06B1D6" w:themeFill="accent1"/>
            <w:vAlign w:val="center"/>
            <w:hideMark/>
          </w:tcPr>
          <w:p w14:paraId="68CDE1E4" w14:textId="51EC63E9" w:rsidR="00BB5BD3" w:rsidRPr="00CD11DE" w:rsidRDefault="00BB5BD3" w:rsidP="00F260C3">
            <w:pPr>
              <w:keepLines w:val="0"/>
              <w:spacing w:after="0" w:line="240" w:lineRule="auto"/>
              <w:jc w:val="right"/>
              <w:rPr>
                <w:rFonts w:eastAsia="Times New Roman"/>
                <w:b/>
                <w:bCs/>
                <w:color w:val="FFFFFF"/>
                <w:sz w:val="18"/>
                <w:szCs w:val="18"/>
              </w:rPr>
            </w:pPr>
            <w:r w:rsidRPr="00CD11DE">
              <w:rPr>
                <w:b/>
                <w:bCs/>
                <w:color w:val="FFFFFF"/>
                <w:sz w:val="18"/>
                <w:szCs w:val="18"/>
              </w:rPr>
              <w:t xml:space="preserve">31 December </w:t>
            </w:r>
            <w:r w:rsidR="0023087C">
              <w:rPr>
                <w:b/>
                <w:bCs/>
                <w:color w:val="FFFFFF"/>
                <w:sz w:val="18"/>
                <w:szCs w:val="18"/>
              </w:rPr>
              <w:t>2023</w:t>
            </w:r>
            <w:r w:rsidRPr="00CD11DE">
              <w:rPr>
                <w:b/>
                <w:bCs/>
                <w:color w:val="FFFFFF"/>
                <w:sz w:val="18"/>
                <w:szCs w:val="18"/>
              </w:rPr>
              <w:t xml:space="preserve"> RWA</w:t>
            </w:r>
            <w:r w:rsidRPr="00CD11DE">
              <w:rPr>
                <w:b/>
                <w:bCs/>
                <w:color w:val="FFFFFF"/>
                <w:sz w:val="18"/>
                <w:szCs w:val="18"/>
              </w:rPr>
              <w:br/>
              <w:t>(£m)</w:t>
            </w:r>
          </w:p>
        </w:tc>
        <w:tc>
          <w:tcPr>
            <w:tcW w:w="811" w:type="pct"/>
            <w:tcBorders>
              <w:top w:val="single" w:sz="8" w:space="0" w:color="FFFFFF"/>
              <w:left w:val="nil"/>
              <w:bottom w:val="nil"/>
              <w:right w:val="single" w:sz="8" w:space="0" w:color="FFFFFF"/>
            </w:tcBorders>
            <w:shd w:val="clear" w:color="auto" w:fill="06B1D6" w:themeFill="accent1"/>
            <w:vAlign w:val="center"/>
            <w:hideMark/>
          </w:tcPr>
          <w:p w14:paraId="21446460" w14:textId="7216FA3D" w:rsidR="00BB5BD3" w:rsidRPr="00CD11DE" w:rsidRDefault="00BB5BD3" w:rsidP="00F260C3">
            <w:pPr>
              <w:keepLines w:val="0"/>
              <w:spacing w:after="0" w:line="240" w:lineRule="auto"/>
              <w:jc w:val="right"/>
              <w:rPr>
                <w:rFonts w:eastAsia="Times New Roman"/>
                <w:b/>
                <w:bCs/>
                <w:color w:val="FFFFFF"/>
                <w:sz w:val="18"/>
                <w:szCs w:val="18"/>
              </w:rPr>
            </w:pPr>
            <w:r w:rsidRPr="00CD11DE">
              <w:rPr>
                <w:b/>
                <w:bCs/>
                <w:color w:val="FFFFFF"/>
                <w:sz w:val="18"/>
                <w:szCs w:val="18"/>
              </w:rPr>
              <w:t xml:space="preserve">Pillar 1 Capital Requirement </w:t>
            </w:r>
            <w:r w:rsidRPr="00CD11DE">
              <w:rPr>
                <w:b/>
                <w:bCs/>
                <w:color w:val="FFFFFF"/>
                <w:sz w:val="18"/>
                <w:szCs w:val="18"/>
              </w:rPr>
              <w:br/>
              <w:t>(£m)</w:t>
            </w:r>
          </w:p>
        </w:tc>
      </w:tr>
      <w:tr w:rsidR="00173B0E" w:rsidRPr="00CD11DE" w14:paraId="132546A8" w14:textId="77777777" w:rsidTr="006F3279">
        <w:trPr>
          <w:trHeight w:val="299"/>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36115E73"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Credit risk</w:t>
            </w:r>
          </w:p>
        </w:tc>
        <w:tc>
          <w:tcPr>
            <w:tcW w:w="876" w:type="pct"/>
            <w:tcBorders>
              <w:top w:val="nil"/>
              <w:left w:val="nil"/>
              <w:bottom w:val="single" w:sz="8" w:space="0" w:color="BFBFBF"/>
              <w:right w:val="single" w:sz="8" w:space="0" w:color="BFBFBF"/>
            </w:tcBorders>
            <w:shd w:val="clear" w:color="auto" w:fill="auto"/>
          </w:tcPr>
          <w:p w14:paraId="53612955" w14:textId="5CD233A3" w:rsidR="00173B0E" w:rsidRPr="00173B0E" w:rsidRDefault="00173B0E" w:rsidP="00173B0E">
            <w:pPr>
              <w:keepLines w:val="0"/>
              <w:spacing w:after="0" w:line="240" w:lineRule="auto"/>
              <w:jc w:val="right"/>
              <w:rPr>
                <w:sz w:val="18"/>
                <w:szCs w:val="18"/>
              </w:rPr>
            </w:pPr>
            <w:r w:rsidRPr="007E0530">
              <w:rPr>
                <w:sz w:val="18"/>
                <w:szCs w:val="18"/>
              </w:rPr>
              <w:t>1,1</w:t>
            </w:r>
            <w:r w:rsidR="008619CF">
              <w:rPr>
                <w:sz w:val="18"/>
                <w:szCs w:val="18"/>
              </w:rPr>
              <w:t>87</w:t>
            </w:r>
            <w:r w:rsidRPr="007E0530">
              <w:rPr>
                <w:sz w:val="18"/>
                <w:szCs w:val="18"/>
              </w:rPr>
              <w:t>.</w:t>
            </w:r>
            <w:r w:rsidR="004A7BAD">
              <w:rPr>
                <w:sz w:val="18"/>
                <w:szCs w:val="18"/>
              </w:rPr>
              <w:t>2</w:t>
            </w:r>
          </w:p>
        </w:tc>
        <w:tc>
          <w:tcPr>
            <w:tcW w:w="810" w:type="pct"/>
            <w:tcBorders>
              <w:top w:val="nil"/>
              <w:left w:val="nil"/>
              <w:bottom w:val="single" w:sz="8" w:space="0" w:color="BFBFBF"/>
              <w:right w:val="single" w:sz="8" w:space="0" w:color="BFBFBF"/>
            </w:tcBorders>
            <w:shd w:val="clear" w:color="auto" w:fill="auto"/>
          </w:tcPr>
          <w:p w14:paraId="517B8DA0" w14:textId="209AC0D1" w:rsidR="00173B0E" w:rsidRPr="00173B0E" w:rsidRDefault="00173B0E" w:rsidP="00173B0E">
            <w:pPr>
              <w:keepLines w:val="0"/>
              <w:spacing w:after="0" w:line="240" w:lineRule="auto"/>
              <w:jc w:val="right"/>
              <w:rPr>
                <w:sz w:val="18"/>
                <w:szCs w:val="18"/>
              </w:rPr>
            </w:pPr>
            <w:r w:rsidRPr="007E0530">
              <w:rPr>
                <w:sz w:val="18"/>
                <w:szCs w:val="18"/>
              </w:rPr>
              <w:t>9</w:t>
            </w:r>
            <w:r w:rsidR="004A7BAD">
              <w:rPr>
                <w:sz w:val="18"/>
                <w:szCs w:val="18"/>
              </w:rPr>
              <w:t>5.0</w:t>
            </w:r>
          </w:p>
        </w:tc>
        <w:tc>
          <w:tcPr>
            <w:tcW w:w="810" w:type="pct"/>
            <w:tcBorders>
              <w:top w:val="nil"/>
              <w:left w:val="nil"/>
              <w:bottom w:val="single" w:sz="8" w:space="0" w:color="BFBFBF"/>
              <w:right w:val="single" w:sz="8" w:space="0" w:color="BFBFBF"/>
            </w:tcBorders>
            <w:shd w:val="clear" w:color="auto" w:fill="auto"/>
            <w:vAlign w:val="center"/>
            <w:hideMark/>
          </w:tcPr>
          <w:p w14:paraId="0BF5149C" w14:textId="6BE3D6DC" w:rsidR="00173B0E" w:rsidRPr="00CD11DE" w:rsidRDefault="00173B0E" w:rsidP="00173B0E">
            <w:pPr>
              <w:keepLines w:val="0"/>
              <w:spacing w:after="0" w:line="240" w:lineRule="auto"/>
              <w:jc w:val="right"/>
              <w:rPr>
                <w:rFonts w:eastAsia="Times New Roman"/>
                <w:sz w:val="18"/>
                <w:szCs w:val="18"/>
              </w:rPr>
            </w:pPr>
            <w:r w:rsidRPr="00CD11DE">
              <w:rPr>
                <w:sz w:val="18"/>
                <w:szCs w:val="18"/>
              </w:rPr>
              <w:t>953.7</w:t>
            </w:r>
          </w:p>
        </w:tc>
        <w:tc>
          <w:tcPr>
            <w:tcW w:w="811" w:type="pct"/>
            <w:tcBorders>
              <w:top w:val="nil"/>
              <w:left w:val="nil"/>
              <w:bottom w:val="single" w:sz="8" w:space="0" w:color="BFBFBF"/>
              <w:right w:val="single" w:sz="8" w:space="0" w:color="BFBFBF"/>
            </w:tcBorders>
            <w:shd w:val="clear" w:color="auto" w:fill="auto"/>
            <w:vAlign w:val="center"/>
            <w:hideMark/>
          </w:tcPr>
          <w:p w14:paraId="54246436" w14:textId="1EB693F6" w:rsidR="00173B0E" w:rsidRPr="00CD11DE" w:rsidRDefault="00173B0E" w:rsidP="00173B0E">
            <w:pPr>
              <w:keepLines w:val="0"/>
              <w:spacing w:after="0" w:line="240" w:lineRule="auto"/>
              <w:jc w:val="right"/>
              <w:rPr>
                <w:rFonts w:eastAsia="Times New Roman"/>
                <w:sz w:val="18"/>
                <w:szCs w:val="18"/>
              </w:rPr>
            </w:pPr>
            <w:r w:rsidRPr="00CD11DE">
              <w:rPr>
                <w:sz w:val="18"/>
                <w:szCs w:val="18"/>
              </w:rPr>
              <w:t>76.3</w:t>
            </w:r>
          </w:p>
        </w:tc>
      </w:tr>
      <w:tr w:rsidR="00173B0E" w:rsidRPr="00CD11DE" w14:paraId="55FAE324" w14:textId="77777777" w:rsidTr="006F3279">
        <w:trPr>
          <w:trHeight w:val="299"/>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1814691C"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Operational risk</w:t>
            </w:r>
          </w:p>
        </w:tc>
        <w:tc>
          <w:tcPr>
            <w:tcW w:w="876" w:type="pct"/>
            <w:tcBorders>
              <w:top w:val="nil"/>
              <w:left w:val="nil"/>
              <w:bottom w:val="single" w:sz="8" w:space="0" w:color="BFBFBF"/>
              <w:right w:val="single" w:sz="8" w:space="0" w:color="BFBFBF"/>
            </w:tcBorders>
            <w:shd w:val="clear" w:color="auto" w:fill="auto"/>
          </w:tcPr>
          <w:p w14:paraId="621114FC" w14:textId="5D56F658" w:rsidR="00173B0E" w:rsidRPr="00173B0E" w:rsidRDefault="00173B0E" w:rsidP="00173B0E">
            <w:pPr>
              <w:keepLines w:val="0"/>
              <w:spacing w:after="0" w:line="240" w:lineRule="auto"/>
              <w:jc w:val="right"/>
              <w:rPr>
                <w:sz w:val="18"/>
                <w:szCs w:val="18"/>
              </w:rPr>
            </w:pPr>
            <w:r w:rsidRPr="007E0530">
              <w:rPr>
                <w:sz w:val="18"/>
                <w:szCs w:val="18"/>
              </w:rPr>
              <w:t>117.3</w:t>
            </w:r>
          </w:p>
        </w:tc>
        <w:tc>
          <w:tcPr>
            <w:tcW w:w="810" w:type="pct"/>
            <w:tcBorders>
              <w:top w:val="nil"/>
              <w:left w:val="nil"/>
              <w:bottom w:val="single" w:sz="8" w:space="0" w:color="BFBFBF"/>
              <w:right w:val="single" w:sz="8" w:space="0" w:color="BFBFBF"/>
            </w:tcBorders>
            <w:shd w:val="clear" w:color="auto" w:fill="auto"/>
          </w:tcPr>
          <w:p w14:paraId="445F0221" w14:textId="6C356DBA" w:rsidR="00173B0E" w:rsidRPr="00173B0E" w:rsidRDefault="00173B0E" w:rsidP="00173B0E">
            <w:pPr>
              <w:keepLines w:val="0"/>
              <w:spacing w:after="0" w:line="240" w:lineRule="auto"/>
              <w:jc w:val="right"/>
              <w:rPr>
                <w:sz w:val="18"/>
                <w:szCs w:val="18"/>
              </w:rPr>
            </w:pPr>
            <w:r w:rsidRPr="007E0530">
              <w:rPr>
                <w:sz w:val="18"/>
                <w:szCs w:val="18"/>
              </w:rPr>
              <w:t>9.4</w:t>
            </w:r>
          </w:p>
        </w:tc>
        <w:tc>
          <w:tcPr>
            <w:tcW w:w="810" w:type="pct"/>
            <w:tcBorders>
              <w:top w:val="nil"/>
              <w:left w:val="nil"/>
              <w:bottom w:val="single" w:sz="8" w:space="0" w:color="BFBFBF"/>
              <w:right w:val="single" w:sz="8" w:space="0" w:color="BFBFBF"/>
            </w:tcBorders>
            <w:shd w:val="clear" w:color="auto" w:fill="auto"/>
            <w:vAlign w:val="center"/>
            <w:hideMark/>
          </w:tcPr>
          <w:p w14:paraId="0BE18C20" w14:textId="58BF57A7" w:rsidR="00173B0E" w:rsidRPr="00CD11DE" w:rsidRDefault="00173B0E" w:rsidP="00173B0E">
            <w:pPr>
              <w:keepLines w:val="0"/>
              <w:spacing w:after="0" w:line="240" w:lineRule="auto"/>
              <w:jc w:val="right"/>
              <w:rPr>
                <w:rFonts w:eastAsia="Times New Roman"/>
                <w:sz w:val="18"/>
                <w:szCs w:val="18"/>
              </w:rPr>
            </w:pPr>
            <w:r w:rsidRPr="00CD11DE">
              <w:rPr>
                <w:sz w:val="18"/>
                <w:szCs w:val="18"/>
              </w:rPr>
              <w:t>105.4</w:t>
            </w:r>
          </w:p>
        </w:tc>
        <w:tc>
          <w:tcPr>
            <w:tcW w:w="811" w:type="pct"/>
            <w:tcBorders>
              <w:top w:val="nil"/>
              <w:left w:val="nil"/>
              <w:bottom w:val="single" w:sz="8" w:space="0" w:color="BFBFBF"/>
              <w:right w:val="single" w:sz="8" w:space="0" w:color="BFBFBF"/>
            </w:tcBorders>
            <w:shd w:val="clear" w:color="auto" w:fill="auto"/>
            <w:vAlign w:val="center"/>
            <w:hideMark/>
          </w:tcPr>
          <w:p w14:paraId="66C95CD2" w14:textId="3F928ED7" w:rsidR="00173B0E" w:rsidRPr="00CD11DE" w:rsidRDefault="00173B0E" w:rsidP="00173B0E">
            <w:pPr>
              <w:keepLines w:val="0"/>
              <w:spacing w:after="0" w:line="240" w:lineRule="auto"/>
              <w:jc w:val="right"/>
              <w:rPr>
                <w:rFonts w:eastAsia="Times New Roman"/>
                <w:sz w:val="18"/>
                <w:szCs w:val="18"/>
              </w:rPr>
            </w:pPr>
            <w:r w:rsidRPr="00CD11DE">
              <w:rPr>
                <w:sz w:val="18"/>
                <w:szCs w:val="18"/>
              </w:rPr>
              <w:t>8.4</w:t>
            </w:r>
          </w:p>
        </w:tc>
      </w:tr>
      <w:tr w:rsidR="008619CF" w:rsidRPr="00CD11DE" w14:paraId="2BF445C8" w14:textId="77777777" w:rsidTr="006F3279">
        <w:trPr>
          <w:trHeight w:val="299"/>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tcPr>
          <w:p w14:paraId="71B8A36A" w14:textId="0F9D4125" w:rsidR="008619CF" w:rsidRPr="00CD11DE" w:rsidRDefault="008619CF" w:rsidP="00173B0E">
            <w:pPr>
              <w:keepLines w:val="0"/>
              <w:spacing w:after="0" w:line="240" w:lineRule="auto"/>
              <w:jc w:val="left"/>
              <w:rPr>
                <w:rFonts w:eastAsia="Times New Roman"/>
                <w:b/>
                <w:bCs/>
                <w:color w:val="FFFFFF"/>
                <w:sz w:val="18"/>
                <w:szCs w:val="18"/>
              </w:rPr>
            </w:pPr>
            <w:r>
              <w:rPr>
                <w:rFonts w:eastAsia="Times New Roman"/>
                <w:b/>
                <w:bCs/>
                <w:color w:val="FFFFFF"/>
                <w:sz w:val="18"/>
                <w:szCs w:val="18"/>
              </w:rPr>
              <w:t>Credit Valuation Adjustment</w:t>
            </w:r>
          </w:p>
        </w:tc>
        <w:tc>
          <w:tcPr>
            <w:tcW w:w="876" w:type="pct"/>
            <w:tcBorders>
              <w:top w:val="nil"/>
              <w:left w:val="nil"/>
              <w:bottom w:val="single" w:sz="8" w:space="0" w:color="BFBFBF"/>
              <w:right w:val="single" w:sz="8" w:space="0" w:color="BFBFBF"/>
            </w:tcBorders>
            <w:shd w:val="clear" w:color="auto" w:fill="auto"/>
          </w:tcPr>
          <w:p w14:paraId="536214FD" w14:textId="7F688C4B" w:rsidR="008619CF" w:rsidRPr="008619CF" w:rsidRDefault="008619CF" w:rsidP="00173B0E">
            <w:pPr>
              <w:keepLines w:val="0"/>
              <w:spacing w:after="0" w:line="240" w:lineRule="auto"/>
              <w:jc w:val="right"/>
              <w:rPr>
                <w:sz w:val="18"/>
                <w:szCs w:val="18"/>
              </w:rPr>
            </w:pPr>
            <w:r>
              <w:rPr>
                <w:sz w:val="18"/>
                <w:szCs w:val="18"/>
              </w:rPr>
              <w:t>3.</w:t>
            </w:r>
            <w:r w:rsidR="00F4057A">
              <w:rPr>
                <w:sz w:val="18"/>
                <w:szCs w:val="18"/>
              </w:rPr>
              <w:t>3</w:t>
            </w:r>
          </w:p>
        </w:tc>
        <w:tc>
          <w:tcPr>
            <w:tcW w:w="810" w:type="pct"/>
            <w:tcBorders>
              <w:top w:val="nil"/>
              <w:left w:val="nil"/>
              <w:bottom w:val="single" w:sz="8" w:space="0" w:color="BFBFBF"/>
              <w:right w:val="single" w:sz="8" w:space="0" w:color="BFBFBF"/>
            </w:tcBorders>
            <w:shd w:val="clear" w:color="auto" w:fill="auto"/>
          </w:tcPr>
          <w:p w14:paraId="74CC14EF" w14:textId="1F0C27A1" w:rsidR="008619CF" w:rsidRPr="008619CF" w:rsidRDefault="008619CF" w:rsidP="00173B0E">
            <w:pPr>
              <w:keepLines w:val="0"/>
              <w:spacing w:after="0" w:line="240" w:lineRule="auto"/>
              <w:jc w:val="right"/>
              <w:rPr>
                <w:sz w:val="18"/>
                <w:szCs w:val="18"/>
              </w:rPr>
            </w:pPr>
            <w:r>
              <w:rPr>
                <w:sz w:val="18"/>
                <w:szCs w:val="18"/>
              </w:rPr>
              <w:t>0.3</w:t>
            </w:r>
          </w:p>
        </w:tc>
        <w:tc>
          <w:tcPr>
            <w:tcW w:w="810" w:type="pct"/>
            <w:tcBorders>
              <w:top w:val="nil"/>
              <w:left w:val="nil"/>
              <w:bottom w:val="single" w:sz="8" w:space="0" w:color="BFBFBF"/>
              <w:right w:val="single" w:sz="8" w:space="0" w:color="BFBFBF"/>
            </w:tcBorders>
            <w:shd w:val="clear" w:color="auto" w:fill="auto"/>
            <w:vAlign w:val="center"/>
          </w:tcPr>
          <w:p w14:paraId="544C0BA9" w14:textId="6410A25E" w:rsidR="008619CF" w:rsidRPr="00CD11DE" w:rsidRDefault="008619CF" w:rsidP="00173B0E">
            <w:pPr>
              <w:keepLines w:val="0"/>
              <w:spacing w:after="0" w:line="240" w:lineRule="auto"/>
              <w:jc w:val="right"/>
              <w:rPr>
                <w:sz w:val="18"/>
                <w:szCs w:val="18"/>
              </w:rPr>
            </w:pPr>
            <w:r>
              <w:rPr>
                <w:sz w:val="18"/>
                <w:szCs w:val="18"/>
              </w:rPr>
              <w:t>-</w:t>
            </w:r>
          </w:p>
        </w:tc>
        <w:tc>
          <w:tcPr>
            <w:tcW w:w="811" w:type="pct"/>
            <w:tcBorders>
              <w:top w:val="nil"/>
              <w:left w:val="nil"/>
              <w:bottom w:val="single" w:sz="8" w:space="0" w:color="BFBFBF"/>
              <w:right w:val="single" w:sz="8" w:space="0" w:color="BFBFBF"/>
            </w:tcBorders>
            <w:shd w:val="clear" w:color="auto" w:fill="auto"/>
            <w:vAlign w:val="center"/>
          </w:tcPr>
          <w:p w14:paraId="04682F89" w14:textId="1BE575CC" w:rsidR="008619CF" w:rsidRPr="00CD11DE" w:rsidRDefault="008619CF" w:rsidP="00173B0E">
            <w:pPr>
              <w:keepLines w:val="0"/>
              <w:spacing w:after="0" w:line="240" w:lineRule="auto"/>
              <w:jc w:val="right"/>
              <w:rPr>
                <w:sz w:val="18"/>
                <w:szCs w:val="18"/>
              </w:rPr>
            </w:pPr>
            <w:r>
              <w:rPr>
                <w:sz w:val="18"/>
                <w:szCs w:val="18"/>
              </w:rPr>
              <w:t>-</w:t>
            </w:r>
          </w:p>
        </w:tc>
      </w:tr>
      <w:tr w:rsidR="00173B0E" w:rsidRPr="00CD11DE" w14:paraId="60FA35C5" w14:textId="77777777" w:rsidTr="006F3279">
        <w:trPr>
          <w:trHeight w:val="299"/>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14E8C9C7"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 requirement</w:t>
            </w:r>
          </w:p>
        </w:tc>
        <w:tc>
          <w:tcPr>
            <w:tcW w:w="876" w:type="pct"/>
            <w:tcBorders>
              <w:top w:val="single" w:sz="8" w:space="0" w:color="auto"/>
              <w:left w:val="nil"/>
              <w:bottom w:val="single" w:sz="8" w:space="0" w:color="auto"/>
              <w:right w:val="single" w:sz="8" w:space="0" w:color="BFBFBF"/>
            </w:tcBorders>
            <w:shd w:val="clear" w:color="auto" w:fill="auto"/>
          </w:tcPr>
          <w:p w14:paraId="419187C6" w14:textId="37FB37BC" w:rsidR="00173B0E" w:rsidRPr="00173B0E" w:rsidRDefault="00173B0E" w:rsidP="00173B0E">
            <w:pPr>
              <w:keepLines w:val="0"/>
              <w:spacing w:after="0" w:line="240" w:lineRule="auto"/>
              <w:jc w:val="right"/>
              <w:rPr>
                <w:b/>
                <w:bCs/>
                <w:sz w:val="18"/>
                <w:szCs w:val="18"/>
              </w:rPr>
            </w:pPr>
            <w:r w:rsidRPr="007E0530">
              <w:rPr>
                <w:b/>
                <w:bCs/>
                <w:sz w:val="18"/>
                <w:szCs w:val="18"/>
              </w:rPr>
              <w:t>1,</w:t>
            </w:r>
            <w:r w:rsidR="004A7BAD">
              <w:rPr>
                <w:b/>
                <w:bCs/>
                <w:sz w:val="18"/>
                <w:szCs w:val="18"/>
              </w:rPr>
              <w:t>307.8</w:t>
            </w:r>
          </w:p>
        </w:tc>
        <w:tc>
          <w:tcPr>
            <w:tcW w:w="810" w:type="pct"/>
            <w:tcBorders>
              <w:top w:val="single" w:sz="8" w:space="0" w:color="auto"/>
              <w:left w:val="nil"/>
              <w:bottom w:val="single" w:sz="8" w:space="0" w:color="auto"/>
              <w:right w:val="single" w:sz="8" w:space="0" w:color="BFBFBF"/>
            </w:tcBorders>
            <w:shd w:val="clear" w:color="auto" w:fill="auto"/>
          </w:tcPr>
          <w:p w14:paraId="07127E6A" w14:textId="245D9C1C" w:rsidR="00173B0E" w:rsidRPr="00173B0E" w:rsidRDefault="00173B0E" w:rsidP="00173B0E">
            <w:pPr>
              <w:keepLines w:val="0"/>
              <w:spacing w:after="0" w:line="240" w:lineRule="auto"/>
              <w:jc w:val="right"/>
              <w:rPr>
                <w:b/>
                <w:bCs/>
                <w:sz w:val="18"/>
                <w:szCs w:val="18"/>
              </w:rPr>
            </w:pPr>
            <w:r w:rsidRPr="007E0530">
              <w:rPr>
                <w:b/>
                <w:bCs/>
                <w:sz w:val="18"/>
                <w:szCs w:val="18"/>
              </w:rPr>
              <w:t>10</w:t>
            </w:r>
            <w:r w:rsidR="004A7BAD">
              <w:rPr>
                <w:b/>
                <w:bCs/>
                <w:sz w:val="18"/>
                <w:szCs w:val="18"/>
              </w:rPr>
              <w:t>4</w:t>
            </w:r>
            <w:r w:rsidRPr="007E0530">
              <w:rPr>
                <w:b/>
                <w:bCs/>
                <w:sz w:val="18"/>
                <w:szCs w:val="18"/>
              </w:rPr>
              <w:t>.</w:t>
            </w:r>
            <w:r w:rsidR="004A7BAD">
              <w:rPr>
                <w:b/>
                <w:bCs/>
                <w:sz w:val="18"/>
                <w:szCs w:val="18"/>
              </w:rPr>
              <w:t>7</w:t>
            </w:r>
          </w:p>
        </w:tc>
        <w:tc>
          <w:tcPr>
            <w:tcW w:w="810" w:type="pct"/>
            <w:tcBorders>
              <w:top w:val="single" w:sz="8" w:space="0" w:color="auto"/>
              <w:left w:val="nil"/>
              <w:bottom w:val="single" w:sz="8" w:space="0" w:color="auto"/>
              <w:right w:val="single" w:sz="8" w:space="0" w:color="BFBFBF"/>
            </w:tcBorders>
            <w:shd w:val="clear" w:color="auto" w:fill="auto"/>
            <w:vAlign w:val="center"/>
            <w:hideMark/>
          </w:tcPr>
          <w:p w14:paraId="6B8866EC" w14:textId="363AAFFF" w:rsidR="00173B0E" w:rsidRPr="00CD11DE" w:rsidRDefault="00173B0E" w:rsidP="00173B0E">
            <w:pPr>
              <w:keepLines w:val="0"/>
              <w:spacing w:after="0" w:line="240" w:lineRule="auto"/>
              <w:jc w:val="right"/>
              <w:rPr>
                <w:rFonts w:eastAsia="Times New Roman"/>
                <w:b/>
                <w:sz w:val="18"/>
                <w:szCs w:val="18"/>
              </w:rPr>
            </w:pPr>
            <w:r w:rsidRPr="00CD11DE">
              <w:rPr>
                <w:b/>
                <w:bCs/>
                <w:sz w:val="18"/>
                <w:szCs w:val="18"/>
              </w:rPr>
              <w:t>1,059.1</w:t>
            </w:r>
          </w:p>
        </w:tc>
        <w:tc>
          <w:tcPr>
            <w:tcW w:w="811" w:type="pct"/>
            <w:tcBorders>
              <w:top w:val="single" w:sz="8" w:space="0" w:color="auto"/>
              <w:left w:val="nil"/>
              <w:bottom w:val="single" w:sz="8" w:space="0" w:color="auto"/>
              <w:right w:val="single" w:sz="8" w:space="0" w:color="BFBFBF"/>
            </w:tcBorders>
            <w:shd w:val="clear" w:color="auto" w:fill="auto"/>
            <w:vAlign w:val="center"/>
            <w:hideMark/>
          </w:tcPr>
          <w:p w14:paraId="6AE15156" w14:textId="047E8A9A" w:rsidR="00173B0E" w:rsidRPr="00CD11DE" w:rsidRDefault="00173B0E" w:rsidP="00173B0E">
            <w:pPr>
              <w:keepLines w:val="0"/>
              <w:spacing w:after="0" w:line="240" w:lineRule="auto"/>
              <w:jc w:val="right"/>
              <w:rPr>
                <w:rFonts w:eastAsia="Times New Roman"/>
                <w:b/>
                <w:sz w:val="18"/>
                <w:szCs w:val="18"/>
              </w:rPr>
            </w:pPr>
            <w:r w:rsidRPr="00CD11DE">
              <w:rPr>
                <w:b/>
                <w:bCs/>
                <w:sz w:val="18"/>
                <w:szCs w:val="18"/>
              </w:rPr>
              <w:t>84.7</w:t>
            </w:r>
          </w:p>
        </w:tc>
      </w:tr>
      <w:tr w:rsidR="00173B0E" w:rsidRPr="00CD11DE" w14:paraId="4EFF2FB4" w14:textId="77777777" w:rsidTr="006F3279">
        <w:trPr>
          <w:trHeight w:val="299"/>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79EDA533"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Capital resources</w:t>
            </w:r>
          </w:p>
        </w:tc>
        <w:tc>
          <w:tcPr>
            <w:tcW w:w="876" w:type="pct"/>
            <w:tcBorders>
              <w:top w:val="single" w:sz="8" w:space="0" w:color="auto"/>
              <w:left w:val="nil"/>
              <w:bottom w:val="single" w:sz="8" w:space="0" w:color="BFBFBF"/>
              <w:right w:val="single" w:sz="8" w:space="0" w:color="BFBFBF"/>
            </w:tcBorders>
            <w:shd w:val="clear" w:color="auto" w:fill="auto"/>
          </w:tcPr>
          <w:p w14:paraId="2CE77F2E" w14:textId="7F77AB21" w:rsidR="00173B0E" w:rsidRPr="00173B0E" w:rsidRDefault="00173B0E" w:rsidP="00173B0E">
            <w:pPr>
              <w:keepLines w:val="0"/>
              <w:spacing w:after="0" w:line="240" w:lineRule="auto"/>
              <w:jc w:val="right"/>
              <w:rPr>
                <w:sz w:val="18"/>
                <w:szCs w:val="18"/>
              </w:rPr>
            </w:pPr>
          </w:p>
        </w:tc>
        <w:tc>
          <w:tcPr>
            <w:tcW w:w="810" w:type="pct"/>
            <w:tcBorders>
              <w:top w:val="nil"/>
              <w:left w:val="nil"/>
              <w:bottom w:val="single" w:sz="8" w:space="0" w:color="BFBFBF"/>
              <w:right w:val="single" w:sz="8" w:space="0" w:color="BFBFBF"/>
            </w:tcBorders>
            <w:shd w:val="clear" w:color="auto" w:fill="auto"/>
          </w:tcPr>
          <w:p w14:paraId="4806BFAF" w14:textId="32A8A5F7" w:rsidR="00173B0E" w:rsidRPr="00173B0E" w:rsidRDefault="00173B0E" w:rsidP="00173B0E">
            <w:pPr>
              <w:keepLines w:val="0"/>
              <w:spacing w:after="0" w:line="240" w:lineRule="auto"/>
              <w:jc w:val="right"/>
              <w:rPr>
                <w:sz w:val="18"/>
                <w:szCs w:val="18"/>
              </w:rPr>
            </w:pPr>
            <w:r w:rsidRPr="007E0530">
              <w:rPr>
                <w:sz w:val="18"/>
                <w:szCs w:val="18"/>
              </w:rPr>
              <w:t>2</w:t>
            </w:r>
            <w:r w:rsidR="004A7BAD">
              <w:rPr>
                <w:sz w:val="18"/>
                <w:szCs w:val="18"/>
              </w:rPr>
              <w:t>24.9</w:t>
            </w:r>
          </w:p>
        </w:tc>
        <w:tc>
          <w:tcPr>
            <w:tcW w:w="810" w:type="pct"/>
            <w:tcBorders>
              <w:top w:val="nil"/>
              <w:left w:val="nil"/>
              <w:bottom w:val="single" w:sz="8" w:space="0" w:color="BFBFBF"/>
              <w:right w:val="single" w:sz="8" w:space="0" w:color="BFBFBF"/>
            </w:tcBorders>
            <w:shd w:val="clear" w:color="auto" w:fill="auto"/>
            <w:vAlign w:val="center"/>
            <w:hideMark/>
          </w:tcPr>
          <w:p w14:paraId="45F46A5A" w14:textId="77570E90" w:rsidR="00173B0E" w:rsidRPr="00CD11DE" w:rsidRDefault="00173B0E" w:rsidP="00173B0E">
            <w:pPr>
              <w:keepLines w:val="0"/>
              <w:spacing w:after="0" w:line="240" w:lineRule="auto"/>
              <w:jc w:val="right"/>
              <w:rPr>
                <w:rFonts w:eastAsia="Times New Roman"/>
                <w:sz w:val="18"/>
                <w:szCs w:val="18"/>
              </w:rPr>
            </w:pPr>
          </w:p>
        </w:tc>
        <w:tc>
          <w:tcPr>
            <w:tcW w:w="811" w:type="pct"/>
            <w:tcBorders>
              <w:top w:val="nil"/>
              <w:left w:val="nil"/>
              <w:bottom w:val="single" w:sz="8" w:space="0" w:color="BFBFBF"/>
              <w:right w:val="single" w:sz="8" w:space="0" w:color="BFBFBF"/>
            </w:tcBorders>
            <w:shd w:val="clear" w:color="auto" w:fill="auto"/>
            <w:vAlign w:val="center"/>
            <w:hideMark/>
          </w:tcPr>
          <w:p w14:paraId="4CA0C700" w14:textId="0AF3B9AB" w:rsidR="00173B0E" w:rsidRPr="00CD11DE" w:rsidRDefault="00173B0E" w:rsidP="00173B0E">
            <w:pPr>
              <w:keepLines w:val="0"/>
              <w:spacing w:after="0" w:line="240" w:lineRule="auto"/>
              <w:jc w:val="right"/>
              <w:rPr>
                <w:rFonts w:eastAsia="Times New Roman"/>
                <w:sz w:val="18"/>
                <w:szCs w:val="18"/>
              </w:rPr>
            </w:pPr>
            <w:r w:rsidRPr="00CD11DE">
              <w:rPr>
                <w:sz w:val="18"/>
                <w:szCs w:val="18"/>
              </w:rPr>
              <w:t>205.5</w:t>
            </w:r>
          </w:p>
        </w:tc>
      </w:tr>
      <w:tr w:rsidR="00173B0E" w:rsidRPr="00CD11DE" w14:paraId="5F2027A3" w14:textId="77777777" w:rsidTr="006F3279">
        <w:trPr>
          <w:trHeight w:val="299"/>
        </w:trPr>
        <w:tc>
          <w:tcPr>
            <w:tcW w:w="1692"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2ED5EB07" w14:textId="77777777" w:rsidR="00173B0E" w:rsidRPr="00CD11DE" w:rsidRDefault="00173B0E" w:rsidP="00173B0E">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Capital resources surplus over Pillar 1 requirement</w:t>
            </w:r>
          </w:p>
        </w:tc>
        <w:tc>
          <w:tcPr>
            <w:tcW w:w="876" w:type="pct"/>
            <w:tcBorders>
              <w:top w:val="nil"/>
              <w:left w:val="nil"/>
              <w:bottom w:val="single" w:sz="8" w:space="0" w:color="BFBFBF"/>
              <w:right w:val="single" w:sz="8" w:space="0" w:color="BFBFBF"/>
            </w:tcBorders>
            <w:shd w:val="clear" w:color="auto" w:fill="auto"/>
          </w:tcPr>
          <w:p w14:paraId="5FA62ED4" w14:textId="607EC204" w:rsidR="00173B0E" w:rsidRPr="00173B0E" w:rsidRDefault="00173B0E" w:rsidP="00173B0E">
            <w:pPr>
              <w:keepLines w:val="0"/>
              <w:spacing w:after="0" w:line="240" w:lineRule="auto"/>
              <w:jc w:val="right"/>
              <w:rPr>
                <w:sz w:val="18"/>
                <w:szCs w:val="18"/>
              </w:rPr>
            </w:pPr>
          </w:p>
        </w:tc>
        <w:tc>
          <w:tcPr>
            <w:tcW w:w="810" w:type="pct"/>
            <w:tcBorders>
              <w:top w:val="nil"/>
              <w:left w:val="nil"/>
              <w:bottom w:val="single" w:sz="8" w:space="0" w:color="BFBFBF"/>
              <w:right w:val="single" w:sz="8" w:space="0" w:color="BFBFBF"/>
            </w:tcBorders>
            <w:shd w:val="clear" w:color="auto" w:fill="auto"/>
          </w:tcPr>
          <w:p w14:paraId="055F5934" w14:textId="38F42003" w:rsidR="00173B0E" w:rsidRPr="00173B0E" w:rsidRDefault="00173B0E" w:rsidP="00173B0E">
            <w:pPr>
              <w:keepLines w:val="0"/>
              <w:spacing w:after="0" w:line="240" w:lineRule="auto"/>
              <w:jc w:val="right"/>
              <w:rPr>
                <w:sz w:val="18"/>
                <w:szCs w:val="18"/>
              </w:rPr>
            </w:pPr>
            <w:r w:rsidRPr="007E0530">
              <w:rPr>
                <w:sz w:val="18"/>
                <w:szCs w:val="18"/>
              </w:rPr>
              <w:t>12</w:t>
            </w:r>
            <w:r w:rsidR="004A7BAD">
              <w:rPr>
                <w:sz w:val="18"/>
                <w:szCs w:val="18"/>
              </w:rPr>
              <w:t>0.2</w:t>
            </w:r>
          </w:p>
        </w:tc>
        <w:tc>
          <w:tcPr>
            <w:tcW w:w="810" w:type="pct"/>
            <w:tcBorders>
              <w:top w:val="nil"/>
              <w:left w:val="nil"/>
              <w:bottom w:val="single" w:sz="8" w:space="0" w:color="BFBFBF"/>
              <w:right w:val="single" w:sz="8" w:space="0" w:color="BFBFBF"/>
            </w:tcBorders>
            <w:shd w:val="clear" w:color="auto" w:fill="auto"/>
            <w:vAlign w:val="center"/>
            <w:hideMark/>
          </w:tcPr>
          <w:p w14:paraId="35EDDFBB" w14:textId="207506B4" w:rsidR="00173B0E" w:rsidRPr="00CD11DE" w:rsidRDefault="00173B0E" w:rsidP="00173B0E">
            <w:pPr>
              <w:keepLines w:val="0"/>
              <w:spacing w:after="0" w:line="240" w:lineRule="auto"/>
              <w:jc w:val="right"/>
              <w:rPr>
                <w:rFonts w:eastAsia="Times New Roman"/>
                <w:sz w:val="18"/>
                <w:szCs w:val="18"/>
              </w:rPr>
            </w:pPr>
          </w:p>
        </w:tc>
        <w:tc>
          <w:tcPr>
            <w:tcW w:w="811" w:type="pct"/>
            <w:tcBorders>
              <w:top w:val="nil"/>
              <w:left w:val="nil"/>
              <w:bottom w:val="single" w:sz="8" w:space="0" w:color="BFBFBF"/>
              <w:right w:val="single" w:sz="8" w:space="0" w:color="BFBFBF"/>
            </w:tcBorders>
            <w:shd w:val="clear" w:color="auto" w:fill="auto"/>
            <w:vAlign w:val="center"/>
            <w:hideMark/>
          </w:tcPr>
          <w:p w14:paraId="01ACD97C" w14:textId="087CEBE2" w:rsidR="00173B0E" w:rsidRPr="00CD11DE" w:rsidRDefault="00173B0E" w:rsidP="00173B0E">
            <w:pPr>
              <w:keepLines w:val="0"/>
              <w:spacing w:after="0" w:line="240" w:lineRule="auto"/>
              <w:jc w:val="right"/>
              <w:rPr>
                <w:rFonts w:eastAsia="Times New Roman"/>
                <w:sz w:val="18"/>
                <w:szCs w:val="18"/>
              </w:rPr>
            </w:pPr>
            <w:r w:rsidRPr="00CD11DE">
              <w:rPr>
                <w:sz w:val="18"/>
                <w:szCs w:val="18"/>
              </w:rPr>
              <w:t>120.8</w:t>
            </w:r>
          </w:p>
        </w:tc>
      </w:tr>
    </w:tbl>
    <w:p w14:paraId="6F9D7DE4" w14:textId="77777777" w:rsidR="001D2BD5" w:rsidRPr="00CD11DE" w:rsidRDefault="001D2BD5" w:rsidP="00756B64">
      <w:pPr>
        <w:rPr>
          <w:sz w:val="20"/>
          <w:szCs w:val="20"/>
        </w:rPr>
      </w:pPr>
    </w:p>
    <w:p w14:paraId="07F39755" w14:textId="071EDC40" w:rsidR="00FA1626" w:rsidRPr="00CD11DE" w:rsidRDefault="00564B7B" w:rsidP="00756B64">
      <w:pPr>
        <w:rPr>
          <w:sz w:val="20"/>
          <w:szCs w:val="20"/>
        </w:rPr>
      </w:pPr>
      <w:r w:rsidRPr="00173B0E">
        <w:rPr>
          <w:sz w:val="20"/>
          <w:szCs w:val="20"/>
        </w:rPr>
        <w:t>As at 31</w:t>
      </w:r>
      <w:r w:rsidR="0077021F" w:rsidRPr="00173B0E">
        <w:rPr>
          <w:sz w:val="20"/>
          <w:szCs w:val="20"/>
          <w:vertAlign w:val="superscript"/>
        </w:rPr>
        <w:t>st</w:t>
      </w:r>
      <w:r w:rsidRPr="00173B0E">
        <w:rPr>
          <w:sz w:val="20"/>
          <w:szCs w:val="20"/>
        </w:rPr>
        <w:t xml:space="preserve"> December </w:t>
      </w:r>
      <w:r w:rsidR="0023087C" w:rsidRPr="00173B0E">
        <w:rPr>
          <w:sz w:val="20"/>
          <w:szCs w:val="20"/>
        </w:rPr>
        <w:t>2024</w:t>
      </w:r>
      <w:r w:rsidRPr="00173B0E">
        <w:rPr>
          <w:sz w:val="20"/>
          <w:szCs w:val="20"/>
        </w:rPr>
        <w:t>, t</w:t>
      </w:r>
      <w:r w:rsidR="00FA1626" w:rsidRPr="00173B0E">
        <w:rPr>
          <w:sz w:val="20"/>
          <w:szCs w:val="20"/>
        </w:rPr>
        <w:t xml:space="preserve">otal capital resources have increased by </w:t>
      </w:r>
      <w:r w:rsidR="00FA1626" w:rsidRPr="00173B0E">
        <w:rPr>
          <w:sz w:val="20"/>
        </w:rPr>
        <w:t>£</w:t>
      </w:r>
      <w:r w:rsidR="00173B0E" w:rsidRPr="007E0530">
        <w:rPr>
          <w:sz w:val="20"/>
        </w:rPr>
        <w:t>19.</w:t>
      </w:r>
      <w:r w:rsidR="00F42330">
        <w:rPr>
          <w:sz w:val="20"/>
        </w:rPr>
        <w:t>4</w:t>
      </w:r>
      <w:r w:rsidR="00173B0E" w:rsidRPr="007E0530">
        <w:rPr>
          <w:sz w:val="20"/>
        </w:rPr>
        <w:t xml:space="preserve"> </w:t>
      </w:r>
      <w:r w:rsidR="00FA1626" w:rsidRPr="00173B0E">
        <w:rPr>
          <w:sz w:val="20"/>
        </w:rPr>
        <w:t>million to £</w:t>
      </w:r>
      <w:r w:rsidR="00173B0E" w:rsidRPr="007E0530">
        <w:rPr>
          <w:sz w:val="20"/>
        </w:rPr>
        <w:t>22</w:t>
      </w:r>
      <w:r w:rsidR="00F42330">
        <w:rPr>
          <w:sz w:val="20"/>
        </w:rPr>
        <w:t>4.9</w:t>
      </w:r>
      <w:r w:rsidR="00173B0E" w:rsidRPr="007E0530">
        <w:rPr>
          <w:sz w:val="20"/>
        </w:rPr>
        <w:t xml:space="preserve"> </w:t>
      </w:r>
      <w:r w:rsidR="00FA1626" w:rsidRPr="00173B0E">
        <w:rPr>
          <w:sz w:val="20"/>
        </w:rPr>
        <w:t>million</w:t>
      </w:r>
      <w:r w:rsidR="00FA1626" w:rsidRPr="00CD11DE">
        <w:rPr>
          <w:sz w:val="20"/>
          <w:szCs w:val="20"/>
        </w:rPr>
        <w:t xml:space="preserve"> (</w:t>
      </w:r>
      <w:r w:rsidR="0023087C">
        <w:rPr>
          <w:sz w:val="20"/>
          <w:szCs w:val="20"/>
        </w:rPr>
        <w:t>2023</w:t>
      </w:r>
      <w:r w:rsidR="00FA1626" w:rsidRPr="00CD11DE">
        <w:rPr>
          <w:sz w:val="20"/>
          <w:szCs w:val="20"/>
        </w:rPr>
        <w:t>: £</w:t>
      </w:r>
      <w:r w:rsidR="00CF0B35" w:rsidRPr="00CD11DE">
        <w:rPr>
          <w:sz w:val="20"/>
          <w:szCs w:val="20"/>
        </w:rPr>
        <w:t xml:space="preserve">205.5 </w:t>
      </w:r>
      <w:r w:rsidR="002C17E9" w:rsidRPr="00CD11DE">
        <w:rPr>
          <w:sz w:val="20"/>
        </w:rPr>
        <w:t>million</w:t>
      </w:r>
      <w:r w:rsidR="00FA1626" w:rsidRPr="00CD11DE">
        <w:rPr>
          <w:sz w:val="20"/>
          <w:szCs w:val="20"/>
        </w:rPr>
        <w:t>)</w:t>
      </w:r>
      <w:r w:rsidRPr="00CD11DE">
        <w:rPr>
          <w:sz w:val="20"/>
          <w:szCs w:val="20"/>
        </w:rPr>
        <w:t xml:space="preserve"> over </w:t>
      </w:r>
      <w:r w:rsidR="0023087C">
        <w:rPr>
          <w:sz w:val="20"/>
          <w:szCs w:val="20"/>
        </w:rPr>
        <w:t>2024</w:t>
      </w:r>
      <w:r w:rsidR="00B8352E" w:rsidRPr="00CD11DE">
        <w:rPr>
          <w:sz w:val="20"/>
          <w:szCs w:val="20"/>
        </w:rPr>
        <w:t xml:space="preserve"> </w:t>
      </w:r>
      <w:r w:rsidR="00FA1626" w:rsidRPr="00CD11DE">
        <w:rPr>
          <w:sz w:val="20"/>
          <w:szCs w:val="20"/>
        </w:rPr>
        <w:t xml:space="preserve">as a result of the inclusion of the Bank’s </w:t>
      </w:r>
      <w:r w:rsidR="0023087C">
        <w:rPr>
          <w:sz w:val="20"/>
          <w:szCs w:val="20"/>
        </w:rPr>
        <w:t>2024</w:t>
      </w:r>
      <w:r w:rsidR="002C17E9" w:rsidRPr="00CD11DE">
        <w:rPr>
          <w:sz w:val="20"/>
          <w:szCs w:val="20"/>
        </w:rPr>
        <w:t xml:space="preserve"> </w:t>
      </w:r>
      <w:r w:rsidRPr="00CD11DE">
        <w:rPr>
          <w:sz w:val="20"/>
          <w:szCs w:val="20"/>
        </w:rPr>
        <w:t xml:space="preserve">audited </w:t>
      </w:r>
      <w:r w:rsidR="00017A1F" w:rsidRPr="00CD11DE">
        <w:rPr>
          <w:sz w:val="20"/>
          <w:szCs w:val="20"/>
        </w:rPr>
        <w:t>total comprehensive income</w:t>
      </w:r>
      <w:r w:rsidR="00FA1626" w:rsidRPr="00CD11DE">
        <w:rPr>
          <w:sz w:val="20"/>
          <w:szCs w:val="20"/>
        </w:rPr>
        <w:t xml:space="preserve"> for the year in retained earnings</w:t>
      </w:r>
      <w:r w:rsidR="00F42330">
        <w:rPr>
          <w:sz w:val="20"/>
          <w:szCs w:val="20"/>
        </w:rPr>
        <w:t xml:space="preserve"> as well as a</w:t>
      </w:r>
      <w:r w:rsidR="002149B2" w:rsidRPr="00CD11DE">
        <w:rPr>
          <w:sz w:val="20"/>
          <w:szCs w:val="20"/>
        </w:rPr>
        <w:t xml:space="preserve"> </w:t>
      </w:r>
      <w:r w:rsidR="00F42330">
        <w:rPr>
          <w:sz w:val="20"/>
          <w:szCs w:val="20"/>
        </w:rPr>
        <w:t>de</w:t>
      </w:r>
      <w:r w:rsidR="002149B2" w:rsidRPr="00CD11DE">
        <w:rPr>
          <w:sz w:val="20"/>
          <w:szCs w:val="20"/>
        </w:rPr>
        <w:t xml:space="preserve">crease </w:t>
      </w:r>
      <w:r w:rsidR="00991305" w:rsidRPr="00CD11DE">
        <w:rPr>
          <w:sz w:val="20"/>
          <w:szCs w:val="20"/>
        </w:rPr>
        <w:t>in deferred tax assets</w:t>
      </w:r>
      <w:r w:rsidR="00ED4289" w:rsidRPr="00CD11DE">
        <w:rPr>
          <w:sz w:val="20"/>
          <w:szCs w:val="20"/>
        </w:rPr>
        <w:t xml:space="preserve"> and mark-to-market of sukuk</w:t>
      </w:r>
      <w:r w:rsidR="00017A1F" w:rsidRPr="00CD11DE">
        <w:rPr>
          <w:sz w:val="20"/>
          <w:szCs w:val="20"/>
        </w:rPr>
        <w:t>.</w:t>
      </w:r>
      <w:r w:rsidR="00176248" w:rsidRPr="00CD11DE">
        <w:rPr>
          <w:sz w:val="20"/>
          <w:szCs w:val="20"/>
        </w:rPr>
        <w:t xml:space="preserve"> </w:t>
      </w:r>
    </w:p>
    <w:p w14:paraId="133FB628" w14:textId="77777777" w:rsidR="009730D1" w:rsidRPr="00CD11DE" w:rsidRDefault="009730D1" w:rsidP="00756B64">
      <w:pPr>
        <w:rPr>
          <w:sz w:val="20"/>
          <w:szCs w:val="20"/>
        </w:rPr>
      </w:pPr>
    </w:p>
    <w:p w14:paraId="270142F7" w14:textId="45F42D0F" w:rsidR="00FA1626" w:rsidRPr="00CD11DE" w:rsidRDefault="00FA1626" w:rsidP="00756B64">
      <w:pPr>
        <w:rPr>
          <w:sz w:val="20"/>
          <w:szCs w:val="20"/>
        </w:rPr>
      </w:pPr>
      <w:r w:rsidRPr="00CD11DE">
        <w:rPr>
          <w:sz w:val="20"/>
          <w:szCs w:val="20"/>
        </w:rPr>
        <w:t xml:space="preserve">The table below shows movements in regulatory capital during </w:t>
      </w:r>
      <w:r w:rsidR="0023087C">
        <w:rPr>
          <w:sz w:val="20"/>
          <w:szCs w:val="20"/>
        </w:rPr>
        <w:t>2024</w:t>
      </w:r>
      <w:r w:rsidRPr="00CD11DE">
        <w:rPr>
          <w:sz w:val="20"/>
          <w:szCs w:val="20"/>
        </w:rPr>
        <w:t xml:space="preserve">.  </w:t>
      </w:r>
    </w:p>
    <w:p w14:paraId="33DA26B9" w14:textId="74457B04" w:rsidR="00ED4289" w:rsidRPr="00CD11DE" w:rsidRDefault="00ED4289"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23</w:t>
      </w:r>
      <w:r w:rsidRPr="00CD11DE">
        <w:fldChar w:fldCharType="end"/>
      </w:r>
      <w:r w:rsidRPr="00CD11DE">
        <w:t xml:space="preserve">: Movement in regulatory capital during </w:t>
      </w:r>
      <w:r w:rsidR="0023087C">
        <w:t>2024</w:t>
      </w:r>
    </w:p>
    <w:tbl>
      <w:tblPr>
        <w:tblW w:w="5000" w:type="pct"/>
        <w:tblLook w:val="04A0" w:firstRow="1" w:lastRow="0" w:firstColumn="1" w:lastColumn="0" w:noHBand="0" w:noVBand="1"/>
      </w:tblPr>
      <w:tblGrid>
        <w:gridCol w:w="4487"/>
        <w:gridCol w:w="4530"/>
      </w:tblGrid>
      <w:tr w:rsidR="00925C23" w:rsidRPr="00CD11DE" w14:paraId="38391789" w14:textId="77777777" w:rsidTr="006F3279">
        <w:trPr>
          <w:trHeight w:val="226"/>
        </w:trPr>
        <w:tc>
          <w:tcPr>
            <w:tcW w:w="2488" w:type="pct"/>
            <w:tcBorders>
              <w:top w:val="single" w:sz="8" w:space="0" w:color="FFFFFF"/>
              <w:left w:val="single" w:sz="8" w:space="0" w:color="FFFFFF"/>
              <w:bottom w:val="single" w:sz="8" w:space="0" w:color="FFFFFF"/>
              <w:right w:val="single" w:sz="8" w:space="0" w:color="FFFFFF"/>
            </w:tcBorders>
            <w:shd w:val="clear" w:color="auto" w:fill="06B1D6" w:themeFill="accent1"/>
            <w:vAlign w:val="center"/>
            <w:hideMark/>
          </w:tcPr>
          <w:p w14:paraId="2B919292" w14:textId="77777777" w:rsidR="00925C23" w:rsidRPr="00CD11DE" w:rsidRDefault="00925C23" w:rsidP="00925C23">
            <w:pPr>
              <w:keepLines w:val="0"/>
              <w:spacing w:after="0" w:line="240" w:lineRule="auto"/>
              <w:jc w:val="left"/>
              <w:rPr>
                <w:rFonts w:eastAsia="Times New Roman"/>
                <w:b/>
                <w:bCs/>
                <w:sz w:val="18"/>
                <w:szCs w:val="18"/>
              </w:rPr>
            </w:pPr>
            <w:r w:rsidRPr="00CD11DE">
              <w:rPr>
                <w:rFonts w:eastAsia="Times New Roman"/>
                <w:b/>
                <w:bCs/>
                <w:sz w:val="18"/>
                <w:szCs w:val="18"/>
              </w:rPr>
              <w:t> </w:t>
            </w:r>
          </w:p>
        </w:tc>
        <w:tc>
          <w:tcPr>
            <w:tcW w:w="2512" w:type="pct"/>
            <w:tcBorders>
              <w:top w:val="single" w:sz="8" w:space="0" w:color="FFFFFF"/>
              <w:left w:val="nil"/>
              <w:bottom w:val="single" w:sz="8" w:space="0" w:color="FFFFFF"/>
              <w:right w:val="single" w:sz="8" w:space="0" w:color="FFFFFF"/>
            </w:tcBorders>
            <w:shd w:val="clear" w:color="auto" w:fill="06B1D6" w:themeFill="accent1"/>
            <w:vAlign w:val="center"/>
            <w:hideMark/>
          </w:tcPr>
          <w:p w14:paraId="0AB0B5BF" w14:textId="77777777" w:rsidR="00925C23" w:rsidRPr="00CD11DE" w:rsidRDefault="00925C23"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1D5862" w:rsidRPr="00CD11DE" w14:paraId="6391A0DA" w14:textId="77777777" w:rsidTr="006F3279">
        <w:trPr>
          <w:trHeight w:val="251"/>
        </w:trPr>
        <w:tc>
          <w:tcPr>
            <w:tcW w:w="2488"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0148B0A0" w14:textId="288D3314" w:rsidR="001D5862" w:rsidRPr="00CD11DE" w:rsidRDefault="001D5862" w:rsidP="001D5862">
            <w:pPr>
              <w:keepLines w:val="0"/>
              <w:spacing w:after="0" w:line="240" w:lineRule="auto"/>
              <w:jc w:val="left"/>
              <w:rPr>
                <w:rFonts w:eastAsia="Times New Roman"/>
                <w:b/>
                <w:bCs/>
                <w:color w:val="FFFFFF"/>
                <w:sz w:val="18"/>
                <w:szCs w:val="18"/>
              </w:rPr>
            </w:pPr>
            <w:r w:rsidRPr="00CD11DE">
              <w:rPr>
                <w:b/>
                <w:bCs/>
                <w:color w:val="FFFFFF"/>
                <w:sz w:val="18"/>
                <w:szCs w:val="18"/>
              </w:rPr>
              <w:t>Total Capital at 01</w:t>
            </w:r>
            <w:r w:rsidRPr="00CD11DE">
              <w:rPr>
                <w:b/>
                <w:bCs/>
                <w:color w:val="FFFFFF"/>
                <w:sz w:val="18"/>
                <w:szCs w:val="18"/>
                <w:vertAlign w:val="superscript"/>
              </w:rPr>
              <w:t>st</w:t>
            </w:r>
            <w:r w:rsidRPr="00CD11DE">
              <w:rPr>
                <w:b/>
                <w:bCs/>
                <w:color w:val="FFFFFF"/>
                <w:sz w:val="18"/>
                <w:szCs w:val="18"/>
              </w:rPr>
              <w:t xml:space="preserve"> January </w:t>
            </w:r>
            <w:r w:rsidR="0023087C">
              <w:rPr>
                <w:b/>
                <w:bCs/>
                <w:color w:val="FFFFFF"/>
                <w:sz w:val="18"/>
                <w:szCs w:val="18"/>
              </w:rPr>
              <w:t>2024</w:t>
            </w:r>
          </w:p>
        </w:tc>
        <w:tc>
          <w:tcPr>
            <w:tcW w:w="2512" w:type="pct"/>
            <w:tcBorders>
              <w:top w:val="nil"/>
              <w:left w:val="nil"/>
              <w:bottom w:val="single" w:sz="8" w:space="0" w:color="BFBFBF"/>
              <w:right w:val="single" w:sz="8" w:space="0" w:color="BFBFBF"/>
            </w:tcBorders>
            <w:shd w:val="clear" w:color="auto" w:fill="auto"/>
            <w:noWrap/>
            <w:vAlign w:val="center"/>
          </w:tcPr>
          <w:p w14:paraId="5CAC9309" w14:textId="698A6023" w:rsidR="001D5862" w:rsidRPr="00CD11DE" w:rsidRDefault="008833D0" w:rsidP="00F260C3">
            <w:pPr>
              <w:keepLines w:val="0"/>
              <w:spacing w:after="0" w:line="240" w:lineRule="auto"/>
              <w:jc w:val="right"/>
              <w:rPr>
                <w:rFonts w:eastAsia="Times New Roman"/>
                <w:color w:val="auto"/>
                <w:sz w:val="18"/>
                <w:szCs w:val="18"/>
              </w:rPr>
            </w:pPr>
            <w:r w:rsidRPr="008833D0">
              <w:rPr>
                <w:rFonts w:eastAsia="Times New Roman"/>
                <w:color w:val="auto"/>
                <w:sz w:val="18"/>
                <w:szCs w:val="18"/>
              </w:rPr>
              <w:t>205.5</w:t>
            </w:r>
          </w:p>
        </w:tc>
      </w:tr>
      <w:tr w:rsidR="001D5862" w:rsidRPr="00CD11DE" w14:paraId="6E6899AA" w14:textId="77777777" w:rsidTr="006F3279">
        <w:trPr>
          <w:trHeight w:val="251"/>
        </w:trPr>
        <w:tc>
          <w:tcPr>
            <w:tcW w:w="2488"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64D4B5AB" w14:textId="204AAF45" w:rsidR="001D5862" w:rsidRPr="00CD11DE" w:rsidRDefault="001D5862" w:rsidP="001D5862">
            <w:pPr>
              <w:keepLines w:val="0"/>
              <w:spacing w:after="0" w:line="240" w:lineRule="auto"/>
              <w:jc w:val="left"/>
              <w:rPr>
                <w:rFonts w:eastAsia="Times New Roman"/>
                <w:b/>
                <w:bCs/>
                <w:color w:val="FFFFFF"/>
                <w:sz w:val="18"/>
                <w:szCs w:val="18"/>
              </w:rPr>
            </w:pPr>
            <w:r w:rsidRPr="00CD11DE">
              <w:rPr>
                <w:b/>
                <w:bCs/>
                <w:color w:val="FFFFFF"/>
                <w:sz w:val="18"/>
                <w:szCs w:val="18"/>
              </w:rPr>
              <w:t>Increase in retained earnings</w:t>
            </w:r>
          </w:p>
        </w:tc>
        <w:tc>
          <w:tcPr>
            <w:tcW w:w="2512" w:type="pct"/>
            <w:tcBorders>
              <w:top w:val="nil"/>
              <w:left w:val="nil"/>
              <w:bottom w:val="single" w:sz="8" w:space="0" w:color="BFBFBF"/>
              <w:right w:val="single" w:sz="8" w:space="0" w:color="BFBFBF"/>
            </w:tcBorders>
            <w:shd w:val="clear" w:color="auto" w:fill="auto"/>
            <w:noWrap/>
            <w:vAlign w:val="center"/>
          </w:tcPr>
          <w:p w14:paraId="4F4A3F3B" w14:textId="47492ADA" w:rsidR="00670871" w:rsidRPr="00CD11DE" w:rsidRDefault="0056796B" w:rsidP="00670871">
            <w:pPr>
              <w:keepLines w:val="0"/>
              <w:spacing w:after="0" w:line="240" w:lineRule="auto"/>
              <w:jc w:val="right"/>
              <w:rPr>
                <w:rFonts w:eastAsia="Times New Roman"/>
                <w:color w:val="auto"/>
                <w:sz w:val="18"/>
                <w:szCs w:val="18"/>
              </w:rPr>
            </w:pPr>
            <w:r>
              <w:rPr>
                <w:rFonts w:eastAsia="Times New Roman"/>
                <w:color w:val="auto"/>
                <w:sz w:val="18"/>
                <w:szCs w:val="18"/>
              </w:rPr>
              <w:t>17.</w:t>
            </w:r>
            <w:r w:rsidR="00F8005B">
              <w:rPr>
                <w:color w:val="auto"/>
                <w:sz w:val="18"/>
              </w:rPr>
              <w:t>4</w:t>
            </w:r>
          </w:p>
        </w:tc>
      </w:tr>
      <w:tr w:rsidR="00670871" w:rsidRPr="00CD11DE" w14:paraId="2E224E1C" w14:textId="77777777" w:rsidTr="006F3279">
        <w:trPr>
          <w:trHeight w:val="251"/>
        </w:trPr>
        <w:tc>
          <w:tcPr>
            <w:tcW w:w="2488" w:type="pct"/>
            <w:tcBorders>
              <w:top w:val="nil"/>
              <w:left w:val="single" w:sz="8" w:space="0" w:color="FFFFFF"/>
              <w:bottom w:val="single" w:sz="8" w:space="0" w:color="FFFFFF"/>
              <w:right w:val="single" w:sz="8" w:space="0" w:color="FFFFFF"/>
            </w:tcBorders>
            <w:shd w:val="clear" w:color="auto" w:fill="06B1D6" w:themeFill="accent1"/>
            <w:vAlign w:val="center"/>
          </w:tcPr>
          <w:p w14:paraId="52A6A6B5" w14:textId="700E277B" w:rsidR="00670871" w:rsidRPr="00CD11DE" w:rsidRDefault="00670871" w:rsidP="001D5862">
            <w:pPr>
              <w:keepLines w:val="0"/>
              <w:spacing w:after="0" w:line="240" w:lineRule="auto"/>
              <w:jc w:val="left"/>
              <w:rPr>
                <w:b/>
                <w:bCs/>
                <w:color w:val="FFFFFF"/>
                <w:sz w:val="18"/>
                <w:szCs w:val="18"/>
              </w:rPr>
            </w:pPr>
            <w:r>
              <w:rPr>
                <w:b/>
                <w:bCs/>
                <w:color w:val="FFFFFF"/>
                <w:sz w:val="18"/>
                <w:szCs w:val="18"/>
              </w:rPr>
              <w:t>Increase in Property revaluation reserve</w:t>
            </w:r>
          </w:p>
        </w:tc>
        <w:tc>
          <w:tcPr>
            <w:tcW w:w="2512" w:type="pct"/>
            <w:tcBorders>
              <w:top w:val="nil"/>
              <w:left w:val="nil"/>
              <w:bottom w:val="single" w:sz="8" w:space="0" w:color="BFBFBF"/>
              <w:right w:val="single" w:sz="8" w:space="0" w:color="BFBFBF"/>
            </w:tcBorders>
            <w:shd w:val="clear" w:color="auto" w:fill="auto"/>
            <w:noWrap/>
            <w:vAlign w:val="center"/>
          </w:tcPr>
          <w:p w14:paraId="5E5641AC" w14:textId="4EB38589" w:rsidR="00670871" w:rsidRDefault="00670871" w:rsidP="00670871">
            <w:pPr>
              <w:keepLines w:val="0"/>
              <w:spacing w:after="0" w:line="240" w:lineRule="auto"/>
              <w:jc w:val="right"/>
              <w:rPr>
                <w:rFonts w:eastAsia="Times New Roman"/>
                <w:color w:val="auto"/>
                <w:sz w:val="18"/>
                <w:szCs w:val="18"/>
              </w:rPr>
            </w:pPr>
            <w:r>
              <w:rPr>
                <w:rFonts w:eastAsia="Times New Roman"/>
                <w:color w:val="auto"/>
                <w:sz w:val="18"/>
                <w:szCs w:val="18"/>
              </w:rPr>
              <w:t>2.5</w:t>
            </w:r>
          </w:p>
        </w:tc>
      </w:tr>
      <w:tr w:rsidR="001D5862" w:rsidRPr="00CD11DE" w14:paraId="04AB26EF" w14:textId="77777777" w:rsidTr="006F3279">
        <w:trPr>
          <w:trHeight w:val="251"/>
        </w:trPr>
        <w:tc>
          <w:tcPr>
            <w:tcW w:w="2488"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347B196D" w14:textId="0C65317E" w:rsidR="001D5862" w:rsidRPr="00CD11DE" w:rsidRDefault="00E25E6B" w:rsidP="001D5862">
            <w:pPr>
              <w:keepLines w:val="0"/>
              <w:spacing w:after="0" w:line="240" w:lineRule="auto"/>
              <w:jc w:val="left"/>
              <w:rPr>
                <w:rFonts w:eastAsia="Times New Roman"/>
                <w:b/>
                <w:bCs/>
                <w:color w:val="FFFFFF"/>
                <w:sz w:val="18"/>
                <w:szCs w:val="18"/>
              </w:rPr>
            </w:pPr>
            <w:r w:rsidRPr="00CD11DE">
              <w:rPr>
                <w:b/>
                <w:bCs/>
                <w:color w:val="FFFFFF"/>
                <w:sz w:val="18"/>
                <w:szCs w:val="18"/>
              </w:rPr>
              <w:t xml:space="preserve">Decrease </w:t>
            </w:r>
            <w:r w:rsidR="001D5862" w:rsidRPr="00CD11DE">
              <w:rPr>
                <w:b/>
                <w:bCs/>
                <w:color w:val="FFFFFF"/>
                <w:sz w:val="18"/>
                <w:szCs w:val="18"/>
              </w:rPr>
              <w:t>in intangible asset deduction</w:t>
            </w:r>
          </w:p>
        </w:tc>
        <w:tc>
          <w:tcPr>
            <w:tcW w:w="2512" w:type="pct"/>
            <w:tcBorders>
              <w:top w:val="nil"/>
              <w:left w:val="nil"/>
              <w:bottom w:val="single" w:sz="8" w:space="0" w:color="BFBFBF"/>
              <w:right w:val="single" w:sz="8" w:space="0" w:color="BFBFBF"/>
            </w:tcBorders>
            <w:shd w:val="clear" w:color="auto" w:fill="auto"/>
            <w:noWrap/>
            <w:vAlign w:val="center"/>
          </w:tcPr>
          <w:p w14:paraId="718B3633" w14:textId="26802944" w:rsidR="001D5862" w:rsidRPr="00CD11DE" w:rsidRDefault="00E25E6B" w:rsidP="00F260C3">
            <w:pPr>
              <w:keepLines w:val="0"/>
              <w:spacing w:after="0" w:line="240" w:lineRule="auto"/>
              <w:jc w:val="right"/>
              <w:rPr>
                <w:rFonts w:eastAsia="Times New Roman"/>
                <w:color w:val="auto"/>
                <w:sz w:val="18"/>
                <w:szCs w:val="18"/>
              </w:rPr>
            </w:pPr>
            <w:r>
              <w:rPr>
                <w:rFonts w:eastAsia="Times New Roman"/>
                <w:color w:val="auto"/>
                <w:sz w:val="18"/>
                <w:szCs w:val="18"/>
              </w:rPr>
              <w:t>0.</w:t>
            </w:r>
            <w:r w:rsidR="004F7CDF">
              <w:rPr>
                <w:rFonts w:eastAsia="Times New Roman"/>
                <w:color w:val="auto"/>
                <w:sz w:val="18"/>
                <w:szCs w:val="18"/>
              </w:rPr>
              <w:t>3</w:t>
            </w:r>
          </w:p>
        </w:tc>
      </w:tr>
      <w:tr w:rsidR="001D5862" w:rsidRPr="00CD11DE" w14:paraId="36306607" w14:textId="77777777" w:rsidTr="006F3279">
        <w:trPr>
          <w:trHeight w:val="251"/>
        </w:trPr>
        <w:tc>
          <w:tcPr>
            <w:tcW w:w="2488"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35016196" w14:textId="29ED79D1" w:rsidR="001D5862" w:rsidRPr="00CD11DE" w:rsidRDefault="00D82B90" w:rsidP="001D5862">
            <w:pPr>
              <w:keepLines w:val="0"/>
              <w:spacing w:after="0" w:line="240" w:lineRule="auto"/>
              <w:jc w:val="left"/>
              <w:rPr>
                <w:rFonts w:eastAsia="Times New Roman"/>
                <w:b/>
                <w:bCs/>
                <w:color w:val="FFFFFF"/>
                <w:sz w:val="18"/>
                <w:szCs w:val="18"/>
              </w:rPr>
            </w:pPr>
            <w:r w:rsidRPr="00CD11DE">
              <w:rPr>
                <w:b/>
                <w:bCs/>
                <w:color w:val="FFFFFF"/>
                <w:sz w:val="18"/>
                <w:szCs w:val="18"/>
              </w:rPr>
              <w:t>De</w:t>
            </w:r>
            <w:r w:rsidR="001D5862" w:rsidRPr="00CD11DE">
              <w:rPr>
                <w:b/>
                <w:bCs/>
                <w:color w:val="FFFFFF"/>
                <w:sz w:val="18"/>
                <w:szCs w:val="18"/>
              </w:rPr>
              <w:t>crease in deferred tax deduction</w:t>
            </w:r>
          </w:p>
        </w:tc>
        <w:tc>
          <w:tcPr>
            <w:tcW w:w="2512" w:type="pct"/>
            <w:tcBorders>
              <w:top w:val="nil"/>
              <w:left w:val="nil"/>
              <w:bottom w:val="single" w:sz="8" w:space="0" w:color="BFBFBF"/>
              <w:right w:val="single" w:sz="8" w:space="0" w:color="BFBFBF"/>
            </w:tcBorders>
            <w:shd w:val="clear" w:color="auto" w:fill="auto"/>
            <w:noWrap/>
            <w:vAlign w:val="center"/>
          </w:tcPr>
          <w:p w14:paraId="11098B44" w14:textId="0D6A5626" w:rsidR="001D5862" w:rsidRPr="00CD11DE" w:rsidRDefault="00670871" w:rsidP="00F260C3">
            <w:pPr>
              <w:keepLines w:val="0"/>
              <w:spacing w:after="0" w:line="240" w:lineRule="auto"/>
              <w:jc w:val="right"/>
              <w:rPr>
                <w:rFonts w:eastAsia="Times New Roman"/>
                <w:color w:val="auto"/>
                <w:sz w:val="18"/>
                <w:szCs w:val="18"/>
              </w:rPr>
            </w:pPr>
            <w:r>
              <w:rPr>
                <w:rFonts w:eastAsia="Times New Roman"/>
                <w:color w:val="auto"/>
                <w:sz w:val="18"/>
                <w:szCs w:val="18"/>
              </w:rPr>
              <w:t>2.8</w:t>
            </w:r>
          </w:p>
        </w:tc>
      </w:tr>
      <w:tr w:rsidR="001D5862" w:rsidRPr="00CD11DE" w14:paraId="16D90348" w14:textId="77777777" w:rsidTr="006F3279">
        <w:trPr>
          <w:trHeight w:val="251"/>
        </w:trPr>
        <w:tc>
          <w:tcPr>
            <w:tcW w:w="2488"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79C6E877" w14:textId="1F65CA13" w:rsidR="001D5862" w:rsidRPr="00CD11DE" w:rsidRDefault="00F8005B" w:rsidP="001D5862">
            <w:pPr>
              <w:keepLines w:val="0"/>
              <w:spacing w:after="0" w:line="240" w:lineRule="auto"/>
              <w:jc w:val="left"/>
              <w:rPr>
                <w:rFonts w:eastAsia="Times New Roman"/>
                <w:b/>
                <w:bCs/>
                <w:color w:val="FFFFFF"/>
                <w:sz w:val="18"/>
                <w:szCs w:val="18"/>
              </w:rPr>
            </w:pPr>
            <w:r>
              <w:rPr>
                <w:b/>
                <w:bCs/>
                <w:color w:val="FFFFFF"/>
                <w:sz w:val="18"/>
                <w:szCs w:val="18"/>
              </w:rPr>
              <w:t>In</w:t>
            </w:r>
            <w:r w:rsidR="00E25E6B">
              <w:rPr>
                <w:b/>
                <w:bCs/>
                <w:color w:val="FFFFFF"/>
                <w:sz w:val="18"/>
                <w:szCs w:val="18"/>
              </w:rPr>
              <w:t>crease</w:t>
            </w:r>
            <w:r w:rsidR="001D5862" w:rsidRPr="00CD11DE">
              <w:rPr>
                <w:b/>
                <w:bCs/>
                <w:color w:val="FFFFFF"/>
                <w:sz w:val="18"/>
                <w:szCs w:val="18"/>
              </w:rPr>
              <w:t xml:space="preserve"> in mark-to-market</w:t>
            </w:r>
          </w:p>
        </w:tc>
        <w:tc>
          <w:tcPr>
            <w:tcW w:w="2512" w:type="pct"/>
            <w:tcBorders>
              <w:top w:val="nil"/>
              <w:left w:val="nil"/>
              <w:bottom w:val="single" w:sz="8" w:space="0" w:color="BFBFBF"/>
              <w:right w:val="single" w:sz="8" w:space="0" w:color="BFBFBF"/>
            </w:tcBorders>
            <w:shd w:val="clear" w:color="auto" w:fill="auto"/>
            <w:noWrap/>
            <w:vAlign w:val="center"/>
          </w:tcPr>
          <w:p w14:paraId="5ED119D6" w14:textId="23082AC7" w:rsidR="001D5862" w:rsidRPr="00CD11DE" w:rsidRDefault="00670871" w:rsidP="00F260C3">
            <w:pPr>
              <w:keepLines w:val="0"/>
              <w:spacing w:after="0" w:line="240" w:lineRule="auto"/>
              <w:jc w:val="right"/>
              <w:rPr>
                <w:rFonts w:eastAsia="Times New Roman"/>
                <w:color w:val="auto"/>
                <w:sz w:val="18"/>
                <w:szCs w:val="18"/>
              </w:rPr>
            </w:pPr>
            <w:r>
              <w:rPr>
                <w:color w:val="auto"/>
                <w:sz w:val="18"/>
              </w:rPr>
              <w:t>1.4</w:t>
            </w:r>
          </w:p>
        </w:tc>
      </w:tr>
      <w:tr w:rsidR="001D5862" w:rsidRPr="00CD11DE" w14:paraId="3E68EDCF" w14:textId="77777777" w:rsidTr="006F3279">
        <w:trPr>
          <w:trHeight w:val="251"/>
        </w:trPr>
        <w:tc>
          <w:tcPr>
            <w:tcW w:w="2488" w:type="pct"/>
            <w:tcBorders>
              <w:top w:val="nil"/>
              <w:left w:val="single" w:sz="8" w:space="0" w:color="FFFFFF"/>
              <w:bottom w:val="single" w:sz="2" w:space="0" w:color="FFFFFF"/>
              <w:right w:val="single" w:sz="8" w:space="0" w:color="FFFFFF"/>
            </w:tcBorders>
            <w:shd w:val="clear" w:color="auto" w:fill="06B1D6" w:themeFill="accent1"/>
            <w:vAlign w:val="center"/>
            <w:hideMark/>
          </w:tcPr>
          <w:p w14:paraId="1E5FA126" w14:textId="1251E820" w:rsidR="001D5862" w:rsidRPr="00CD11DE" w:rsidRDefault="001D5862" w:rsidP="001D5862">
            <w:pPr>
              <w:keepLines w:val="0"/>
              <w:spacing w:after="0" w:line="240" w:lineRule="auto"/>
              <w:jc w:val="left"/>
              <w:rPr>
                <w:rFonts w:eastAsia="Times New Roman"/>
                <w:b/>
                <w:bCs/>
                <w:color w:val="FFFFFF"/>
                <w:sz w:val="18"/>
                <w:szCs w:val="18"/>
              </w:rPr>
            </w:pPr>
            <w:r w:rsidRPr="00CD11DE">
              <w:rPr>
                <w:b/>
                <w:bCs/>
                <w:color w:val="FFFFFF"/>
                <w:sz w:val="18"/>
                <w:szCs w:val="18"/>
              </w:rPr>
              <w:t>Amortisation of Tier 2 balance</w:t>
            </w:r>
          </w:p>
        </w:tc>
        <w:tc>
          <w:tcPr>
            <w:tcW w:w="2512" w:type="pct"/>
            <w:tcBorders>
              <w:top w:val="nil"/>
              <w:left w:val="nil"/>
              <w:bottom w:val="single" w:sz="4" w:space="0" w:color="D9D9D9" w:themeColor="background1" w:themeShade="D9"/>
              <w:right w:val="single" w:sz="8" w:space="0" w:color="BFBFBF"/>
            </w:tcBorders>
            <w:shd w:val="clear" w:color="auto" w:fill="auto"/>
            <w:noWrap/>
            <w:vAlign w:val="center"/>
          </w:tcPr>
          <w:p w14:paraId="55B5E6ED" w14:textId="262C9C1D" w:rsidR="001D5862" w:rsidRPr="00CD11DE" w:rsidRDefault="00E25E6B" w:rsidP="00F260C3">
            <w:pPr>
              <w:keepLines w:val="0"/>
              <w:spacing w:after="0" w:line="240" w:lineRule="auto"/>
              <w:jc w:val="right"/>
              <w:rPr>
                <w:color w:val="auto"/>
                <w:sz w:val="18"/>
              </w:rPr>
            </w:pPr>
            <w:r>
              <w:rPr>
                <w:color w:val="auto"/>
                <w:sz w:val="18"/>
              </w:rPr>
              <w:t>(5.0)</w:t>
            </w:r>
          </w:p>
        </w:tc>
      </w:tr>
      <w:tr w:rsidR="001D5862" w:rsidRPr="00CD11DE" w14:paraId="6E894D8B" w14:textId="77777777" w:rsidTr="006F3279">
        <w:trPr>
          <w:trHeight w:val="251"/>
        </w:trPr>
        <w:tc>
          <w:tcPr>
            <w:tcW w:w="2488" w:type="pct"/>
            <w:tcBorders>
              <w:top w:val="single" w:sz="2" w:space="0" w:color="FFFFFF"/>
              <w:left w:val="single" w:sz="8" w:space="0" w:color="FFFFFF"/>
              <w:bottom w:val="single" w:sz="8" w:space="0" w:color="FFFFFF"/>
              <w:right w:val="single" w:sz="8" w:space="0" w:color="FFFFFF"/>
            </w:tcBorders>
            <w:shd w:val="clear" w:color="auto" w:fill="06B1D6" w:themeFill="accent1"/>
            <w:vAlign w:val="center"/>
          </w:tcPr>
          <w:p w14:paraId="61E9E0AE" w14:textId="186DC74D" w:rsidR="001D5862" w:rsidRPr="00CD11DE" w:rsidRDefault="001D5862" w:rsidP="001D5862">
            <w:pPr>
              <w:keepLines w:val="0"/>
              <w:spacing w:after="0" w:line="240" w:lineRule="auto"/>
              <w:jc w:val="left"/>
              <w:rPr>
                <w:b/>
                <w:bCs/>
                <w:color w:val="FFFFFF"/>
                <w:sz w:val="18"/>
                <w:szCs w:val="18"/>
              </w:rPr>
            </w:pPr>
            <w:r w:rsidRPr="00CD11DE">
              <w:rPr>
                <w:b/>
                <w:bCs/>
                <w:color w:val="FFFFFF"/>
                <w:sz w:val="18"/>
                <w:szCs w:val="18"/>
              </w:rPr>
              <w:t>Total Capital at 31</w:t>
            </w:r>
            <w:r w:rsidRPr="00CD11DE">
              <w:rPr>
                <w:b/>
                <w:bCs/>
                <w:color w:val="FFFFFF"/>
                <w:sz w:val="18"/>
                <w:szCs w:val="18"/>
                <w:vertAlign w:val="superscript"/>
              </w:rPr>
              <w:t>st</w:t>
            </w:r>
            <w:r w:rsidRPr="00CD11DE">
              <w:rPr>
                <w:b/>
                <w:bCs/>
                <w:color w:val="FFFFFF"/>
                <w:sz w:val="18"/>
                <w:szCs w:val="18"/>
              </w:rPr>
              <w:t xml:space="preserve"> December </w:t>
            </w:r>
            <w:r w:rsidR="0023087C">
              <w:rPr>
                <w:b/>
                <w:bCs/>
                <w:color w:val="FFFFFF"/>
                <w:sz w:val="18"/>
                <w:szCs w:val="18"/>
              </w:rPr>
              <w:t>2024</w:t>
            </w:r>
          </w:p>
        </w:tc>
        <w:tc>
          <w:tcPr>
            <w:tcW w:w="2512" w:type="pct"/>
            <w:tcBorders>
              <w:top w:val="nil"/>
              <w:left w:val="nil"/>
              <w:bottom w:val="single" w:sz="8" w:space="0" w:color="BFBFBF"/>
              <w:right w:val="single" w:sz="8" w:space="0" w:color="BFBFBF"/>
            </w:tcBorders>
            <w:shd w:val="clear" w:color="auto" w:fill="auto"/>
            <w:noWrap/>
            <w:vAlign w:val="center"/>
          </w:tcPr>
          <w:p w14:paraId="645D68C6" w14:textId="775D1505" w:rsidR="001D5862" w:rsidRPr="00CD11DE" w:rsidRDefault="00E25E6B" w:rsidP="00F260C3">
            <w:pPr>
              <w:keepLines w:val="0"/>
              <w:spacing w:after="0" w:line="240" w:lineRule="auto"/>
              <w:jc w:val="right"/>
              <w:rPr>
                <w:b/>
                <w:color w:val="auto"/>
                <w:sz w:val="18"/>
              </w:rPr>
            </w:pPr>
            <w:r>
              <w:rPr>
                <w:rFonts w:eastAsia="Times New Roman"/>
                <w:b/>
                <w:bCs/>
                <w:color w:val="auto"/>
                <w:sz w:val="18"/>
                <w:szCs w:val="18"/>
              </w:rPr>
              <w:t>22</w:t>
            </w:r>
            <w:r w:rsidR="004F7CDF">
              <w:rPr>
                <w:rFonts w:eastAsia="Times New Roman"/>
                <w:b/>
                <w:bCs/>
                <w:color w:val="auto"/>
                <w:sz w:val="18"/>
                <w:szCs w:val="18"/>
              </w:rPr>
              <w:t>4.9</w:t>
            </w:r>
          </w:p>
        </w:tc>
      </w:tr>
    </w:tbl>
    <w:p w14:paraId="18C3CDF2" w14:textId="77777777" w:rsidR="009730D1" w:rsidRPr="00CD11DE" w:rsidRDefault="009730D1" w:rsidP="009730D1"/>
    <w:p w14:paraId="48CA0341" w14:textId="08F0C54E" w:rsidR="00B642EF" w:rsidRPr="00C62D72" w:rsidRDefault="00181F8B" w:rsidP="00D02827">
      <w:pPr>
        <w:pStyle w:val="Heading3"/>
        <w:rPr>
          <w:lang w:val="en-GB"/>
        </w:rPr>
      </w:pPr>
      <w:r w:rsidRPr="00C62D72">
        <w:rPr>
          <w:lang w:val="en-GB"/>
        </w:rPr>
        <w:t xml:space="preserve">Reconciliation of statutory equity to regulatory capital resources </w:t>
      </w:r>
    </w:p>
    <w:p w14:paraId="37C15FDF" w14:textId="1F5135B3" w:rsidR="009730D1" w:rsidRPr="00CD11DE" w:rsidRDefault="009730D1"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24</w:t>
      </w:r>
      <w:r w:rsidRPr="00CD11DE">
        <w:fldChar w:fldCharType="end"/>
      </w:r>
      <w:r w:rsidRPr="00CD11DE">
        <w:t>: Reconciliation of statutory equity to total regulatory capital resources</w:t>
      </w:r>
    </w:p>
    <w:tbl>
      <w:tblPr>
        <w:tblpPr w:leftFromText="180" w:rightFromText="180" w:vertAnchor="text" w:horzAnchor="margin" w:tblpY="37"/>
        <w:tblW w:w="5000" w:type="pct"/>
        <w:tblLook w:val="04A0" w:firstRow="1" w:lastRow="0" w:firstColumn="1" w:lastColumn="0" w:noHBand="0" w:noVBand="1"/>
      </w:tblPr>
      <w:tblGrid>
        <w:gridCol w:w="4527"/>
        <w:gridCol w:w="2245"/>
        <w:gridCol w:w="2245"/>
      </w:tblGrid>
      <w:tr w:rsidR="009730D1" w:rsidRPr="00CD11DE" w14:paraId="76545246" w14:textId="77777777" w:rsidTr="006F3279">
        <w:trPr>
          <w:trHeight w:val="188"/>
        </w:trPr>
        <w:tc>
          <w:tcPr>
            <w:tcW w:w="2510" w:type="pct"/>
            <w:tcBorders>
              <w:top w:val="single" w:sz="8" w:space="0" w:color="FFFFFF"/>
              <w:left w:val="single" w:sz="8" w:space="0" w:color="FFFFFF"/>
              <w:bottom w:val="nil"/>
              <w:right w:val="single" w:sz="8" w:space="0" w:color="FFFFFF"/>
            </w:tcBorders>
            <w:shd w:val="clear" w:color="auto" w:fill="06B1D6" w:themeFill="accent1"/>
            <w:vAlign w:val="center"/>
            <w:hideMark/>
          </w:tcPr>
          <w:p w14:paraId="3790D027" w14:textId="77777777" w:rsidR="009730D1" w:rsidRPr="00CD11DE" w:rsidRDefault="009730D1" w:rsidP="009730D1">
            <w:pPr>
              <w:keepLines w:val="0"/>
              <w:spacing w:after="0" w:line="240" w:lineRule="auto"/>
              <w:jc w:val="left"/>
              <w:rPr>
                <w:rFonts w:eastAsia="Times New Roman"/>
                <w:b/>
                <w:bCs/>
                <w:sz w:val="18"/>
                <w:szCs w:val="18"/>
              </w:rPr>
            </w:pPr>
          </w:p>
        </w:tc>
        <w:tc>
          <w:tcPr>
            <w:tcW w:w="1245" w:type="pct"/>
            <w:tcBorders>
              <w:top w:val="single" w:sz="8" w:space="0" w:color="FFFFFF"/>
              <w:left w:val="nil"/>
              <w:bottom w:val="nil"/>
              <w:right w:val="single" w:sz="8" w:space="0" w:color="FFFFFF"/>
            </w:tcBorders>
            <w:shd w:val="clear" w:color="auto" w:fill="06B1D6" w:themeFill="accent1"/>
            <w:vAlign w:val="center"/>
            <w:hideMark/>
          </w:tcPr>
          <w:p w14:paraId="498E48FA" w14:textId="3A01EDC5" w:rsidR="009730D1" w:rsidRPr="00CD11DE" w:rsidRDefault="009730D1"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31-Dec-2</w:t>
            </w:r>
            <w:r w:rsidR="00A663B5">
              <w:rPr>
                <w:rFonts w:eastAsia="Times New Roman"/>
                <w:b/>
                <w:bCs/>
                <w:color w:val="FFFFFF"/>
                <w:sz w:val="18"/>
                <w:szCs w:val="18"/>
              </w:rPr>
              <w:t>4</w:t>
            </w:r>
          </w:p>
        </w:tc>
        <w:tc>
          <w:tcPr>
            <w:tcW w:w="1245" w:type="pct"/>
            <w:tcBorders>
              <w:top w:val="single" w:sz="8" w:space="0" w:color="FFFFFF"/>
              <w:left w:val="nil"/>
              <w:bottom w:val="nil"/>
              <w:right w:val="single" w:sz="8" w:space="0" w:color="FFFFFF"/>
            </w:tcBorders>
            <w:shd w:val="clear" w:color="auto" w:fill="06B1D6" w:themeFill="accent1"/>
            <w:vAlign w:val="center"/>
            <w:hideMark/>
          </w:tcPr>
          <w:p w14:paraId="72926C5E" w14:textId="0C313550" w:rsidR="009730D1" w:rsidRPr="00CD11DE" w:rsidRDefault="009730D1"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31-Dec-2</w:t>
            </w:r>
            <w:r w:rsidR="00A663B5">
              <w:rPr>
                <w:rFonts w:eastAsia="Times New Roman"/>
                <w:b/>
                <w:bCs/>
                <w:color w:val="FFFFFF"/>
                <w:sz w:val="18"/>
                <w:szCs w:val="18"/>
              </w:rPr>
              <w:t>3</w:t>
            </w:r>
          </w:p>
        </w:tc>
      </w:tr>
      <w:tr w:rsidR="009730D1" w:rsidRPr="00CD11DE" w14:paraId="7ECBF319" w14:textId="77777777" w:rsidTr="006F3279">
        <w:trPr>
          <w:trHeight w:val="199"/>
        </w:trPr>
        <w:tc>
          <w:tcPr>
            <w:tcW w:w="2510"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1BE538A6" w14:textId="77777777" w:rsidR="009730D1" w:rsidRPr="00CD11DE" w:rsidRDefault="009730D1" w:rsidP="009730D1">
            <w:pPr>
              <w:keepLines w:val="0"/>
              <w:spacing w:after="0" w:line="240" w:lineRule="auto"/>
              <w:jc w:val="left"/>
              <w:rPr>
                <w:rFonts w:eastAsia="Times New Roman"/>
                <w:b/>
                <w:bCs/>
                <w:sz w:val="18"/>
                <w:szCs w:val="18"/>
              </w:rPr>
            </w:pPr>
            <w:r w:rsidRPr="00CD11DE">
              <w:rPr>
                <w:rFonts w:eastAsia="Times New Roman"/>
                <w:b/>
                <w:bCs/>
                <w:sz w:val="18"/>
                <w:szCs w:val="18"/>
              </w:rPr>
              <w:t> </w:t>
            </w:r>
          </w:p>
        </w:tc>
        <w:tc>
          <w:tcPr>
            <w:tcW w:w="1245" w:type="pct"/>
            <w:tcBorders>
              <w:top w:val="nil"/>
              <w:left w:val="nil"/>
              <w:bottom w:val="single" w:sz="8" w:space="0" w:color="FFFFFF"/>
              <w:right w:val="single" w:sz="8" w:space="0" w:color="FFFFFF"/>
            </w:tcBorders>
            <w:shd w:val="clear" w:color="auto" w:fill="06B1D6" w:themeFill="accent1"/>
            <w:vAlign w:val="center"/>
            <w:hideMark/>
          </w:tcPr>
          <w:p w14:paraId="43BAFD77" w14:textId="77777777" w:rsidR="009730D1" w:rsidRPr="00CD11DE" w:rsidRDefault="009730D1"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1245" w:type="pct"/>
            <w:tcBorders>
              <w:top w:val="nil"/>
              <w:left w:val="nil"/>
              <w:bottom w:val="single" w:sz="8" w:space="0" w:color="FFFFFF"/>
              <w:right w:val="single" w:sz="8" w:space="0" w:color="FFFFFF"/>
            </w:tcBorders>
            <w:shd w:val="clear" w:color="auto" w:fill="06B1D6" w:themeFill="accent1"/>
            <w:vAlign w:val="center"/>
            <w:hideMark/>
          </w:tcPr>
          <w:p w14:paraId="779A8ACE" w14:textId="77777777" w:rsidR="009730D1" w:rsidRPr="00CD11DE" w:rsidRDefault="009730D1" w:rsidP="00F260C3">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E25E6B" w:rsidRPr="00CD11DE" w14:paraId="70454D31" w14:textId="77777777" w:rsidTr="006F3279">
        <w:trPr>
          <w:trHeight w:val="247"/>
        </w:trPr>
        <w:tc>
          <w:tcPr>
            <w:tcW w:w="2510"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713A066E" w14:textId="48FC5D6C" w:rsidR="00E25E6B" w:rsidRPr="00CD11DE" w:rsidRDefault="008B25D8" w:rsidP="00E25E6B">
            <w:pPr>
              <w:keepLines w:val="0"/>
              <w:spacing w:after="0" w:line="240" w:lineRule="auto"/>
              <w:jc w:val="left"/>
              <w:rPr>
                <w:rFonts w:eastAsia="Times New Roman"/>
                <w:color w:val="FFFFFF"/>
                <w:sz w:val="18"/>
                <w:szCs w:val="18"/>
              </w:rPr>
            </w:pPr>
            <w:r>
              <w:rPr>
                <w:rFonts w:eastAsia="Times New Roman"/>
                <w:color w:val="FFFFFF"/>
                <w:sz w:val="18"/>
                <w:szCs w:val="18"/>
              </w:rPr>
              <w:t>Total equity excluding profit stabilisation reserve</w:t>
            </w:r>
          </w:p>
        </w:tc>
        <w:tc>
          <w:tcPr>
            <w:tcW w:w="1245" w:type="pct"/>
            <w:tcBorders>
              <w:top w:val="nil"/>
              <w:left w:val="nil"/>
              <w:bottom w:val="single" w:sz="8" w:space="0" w:color="BFBFBF"/>
              <w:right w:val="single" w:sz="8" w:space="0" w:color="BFBFBF"/>
            </w:tcBorders>
            <w:shd w:val="clear" w:color="auto" w:fill="auto"/>
            <w:noWrap/>
            <w:vAlign w:val="center"/>
          </w:tcPr>
          <w:p w14:paraId="5A15B002" w14:textId="1498D4C6" w:rsidR="00E25E6B" w:rsidRPr="00CD11DE" w:rsidRDefault="00E25E6B" w:rsidP="00E25E6B">
            <w:pPr>
              <w:keepLines w:val="0"/>
              <w:spacing w:after="0" w:line="240" w:lineRule="auto"/>
              <w:jc w:val="right"/>
              <w:rPr>
                <w:rFonts w:eastAsia="Times New Roman"/>
                <w:color w:val="auto"/>
                <w:sz w:val="18"/>
                <w:szCs w:val="18"/>
              </w:rPr>
            </w:pPr>
            <w:r>
              <w:rPr>
                <w:rFonts w:eastAsia="Times New Roman"/>
                <w:color w:val="auto"/>
                <w:sz w:val="18"/>
                <w:szCs w:val="18"/>
              </w:rPr>
              <w:t>216.4</w:t>
            </w:r>
            <w:r w:rsidRPr="00CD11DE">
              <w:rPr>
                <w:rFonts w:eastAsia="Times New Roman"/>
                <w:color w:val="auto"/>
                <w:sz w:val="18"/>
                <w:szCs w:val="18"/>
              </w:rPr>
              <w:t xml:space="preserve"> </w:t>
            </w:r>
          </w:p>
        </w:tc>
        <w:tc>
          <w:tcPr>
            <w:tcW w:w="1245" w:type="pct"/>
            <w:tcBorders>
              <w:top w:val="nil"/>
              <w:left w:val="nil"/>
              <w:bottom w:val="single" w:sz="8" w:space="0" w:color="BFBFBF"/>
              <w:right w:val="single" w:sz="8" w:space="0" w:color="BFBFBF"/>
            </w:tcBorders>
            <w:shd w:val="clear" w:color="auto" w:fill="auto"/>
            <w:noWrap/>
            <w:vAlign w:val="center"/>
            <w:hideMark/>
          </w:tcPr>
          <w:p w14:paraId="0D0E14EC" w14:textId="46276FEB" w:rsidR="00E25E6B" w:rsidRPr="00CD11DE" w:rsidRDefault="00E25E6B" w:rsidP="00E25E6B">
            <w:pPr>
              <w:keepLines w:val="0"/>
              <w:spacing w:after="0" w:line="240" w:lineRule="auto"/>
              <w:jc w:val="right"/>
              <w:rPr>
                <w:rFonts w:eastAsia="Times New Roman"/>
                <w:color w:val="auto"/>
                <w:sz w:val="18"/>
                <w:szCs w:val="18"/>
              </w:rPr>
            </w:pPr>
            <w:r w:rsidRPr="00CD11DE">
              <w:rPr>
                <w:rFonts w:eastAsia="Times New Roman"/>
                <w:color w:val="auto"/>
                <w:sz w:val="18"/>
                <w:szCs w:val="18"/>
              </w:rPr>
              <w:t xml:space="preserve">195.0 </w:t>
            </w:r>
          </w:p>
        </w:tc>
      </w:tr>
      <w:tr w:rsidR="00E25E6B" w:rsidRPr="00CD11DE" w14:paraId="2903FF32" w14:textId="77777777" w:rsidTr="006F3279">
        <w:trPr>
          <w:trHeight w:val="221"/>
        </w:trPr>
        <w:tc>
          <w:tcPr>
            <w:tcW w:w="2510"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2DAF3821" w14:textId="77777777" w:rsidR="00E25E6B" w:rsidRPr="00CD11DE" w:rsidRDefault="00E25E6B" w:rsidP="00E25E6B">
            <w:pPr>
              <w:keepLines w:val="0"/>
              <w:spacing w:after="0" w:line="240" w:lineRule="auto"/>
              <w:jc w:val="left"/>
              <w:rPr>
                <w:rFonts w:eastAsia="Times New Roman"/>
                <w:b/>
                <w:bCs/>
                <w:i/>
                <w:iCs/>
                <w:color w:val="FFFFFF"/>
                <w:sz w:val="18"/>
                <w:szCs w:val="18"/>
              </w:rPr>
            </w:pPr>
            <w:r w:rsidRPr="00CD11DE">
              <w:rPr>
                <w:rFonts w:eastAsia="Times New Roman"/>
                <w:b/>
                <w:bCs/>
                <w:i/>
                <w:iCs/>
                <w:color w:val="FFFFFF"/>
                <w:sz w:val="18"/>
                <w:szCs w:val="18"/>
              </w:rPr>
              <w:t>Regulatory adjustments</w:t>
            </w:r>
          </w:p>
        </w:tc>
        <w:tc>
          <w:tcPr>
            <w:tcW w:w="1245" w:type="pct"/>
            <w:tcBorders>
              <w:top w:val="nil"/>
              <w:left w:val="nil"/>
              <w:bottom w:val="single" w:sz="8" w:space="0" w:color="BFBFBF"/>
              <w:right w:val="single" w:sz="8" w:space="0" w:color="BFBFBF"/>
            </w:tcBorders>
            <w:shd w:val="clear" w:color="auto" w:fill="auto"/>
            <w:noWrap/>
            <w:vAlign w:val="center"/>
          </w:tcPr>
          <w:p w14:paraId="3609100C" w14:textId="5AE7856D" w:rsidR="00E25E6B" w:rsidRPr="00CD11DE" w:rsidRDefault="00E25E6B" w:rsidP="00E25E6B">
            <w:pPr>
              <w:keepLines w:val="0"/>
              <w:spacing w:after="0" w:line="240" w:lineRule="auto"/>
              <w:jc w:val="right"/>
              <w:rPr>
                <w:rFonts w:eastAsia="Times New Roman"/>
                <w:color w:val="auto"/>
                <w:sz w:val="18"/>
                <w:szCs w:val="18"/>
              </w:rPr>
            </w:pPr>
          </w:p>
        </w:tc>
        <w:tc>
          <w:tcPr>
            <w:tcW w:w="1245" w:type="pct"/>
            <w:tcBorders>
              <w:top w:val="nil"/>
              <w:left w:val="nil"/>
              <w:bottom w:val="single" w:sz="8" w:space="0" w:color="BFBFBF"/>
              <w:right w:val="single" w:sz="8" w:space="0" w:color="BFBFBF"/>
            </w:tcBorders>
            <w:shd w:val="clear" w:color="auto" w:fill="auto"/>
            <w:noWrap/>
            <w:vAlign w:val="center"/>
            <w:hideMark/>
          </w:tcPr>
          <w:p w14:paraId="14B96FD5" w14:textId="71FD68DA" w:rsidR="00E25E6B" w:rsidRPr="00CD11DE" w:rsidRDefault="00E25E6B" w:rsidP="00E25E6B">
            <w:pPr>
              <w:keepLines w:val="0"/>
              <w:spacing w:after="0" w:line="240" w:lineRule="auto"/>
              <w:jc w:val="right"/>
              <w:rPr>
                <w:rFonts w:eastAsia="Times New Roman"/>
                <w:color w:val="auto"/>
                <w:sz w:val="18"/>
                <w:szCs w:val="18"/>
              </w:rPr>
            </w:pPr>
          </w:p>
        </w:tc>
      </w:tr>
      <w:tr w:rsidR="00E25E6B" w:rsidRPr="00CD11DE" w14:paraId="7F919F2B" w14:textId="77777777" w:rsidTr="006F3279">
        <w:trPr>
          <w:trHeight w:val="221"/>
        </w:trPr>
        <w:tc>
          <w:tcPr>
            <w:tcW w:w="2510" w:type="pct"/>
            <w:tcBorders>
              <w:top w:val="nil"/>
              <w:left w:val="single" w:sz="8" w:space="0" w:color="FFFFFF"/>
              <w:bottom w:val="single" w:sz="8" w:space="0" w:color="FFFFFF"/>
              <w:right w:val="single" w:sz="8" w:space="0" w:color="FFFFFF"/>
            </w:tcBorders>
            <w:shd w:val="clear" w:color="auto" w:fill="06B1D6" w:themeFill="accent1"/>
            <w:vAlign w:val="center"/>
          </w:tcPr>
          <w:p w14:paraId="1961D937" w14:textId="77777777" w:rsidR="00E25E6B" w:rsidRPr="00CD11DE" w:rsidRDefault="00E25E6B" w:rsidP="00E25E6B">
            <w:pPr>
              <w:keepLines w:val="0"/>
              <w:spacing w:after="0" w:line="240" w:lineRule="auto"/>
              <w:jc w:val="left"/>
              <w:rPr>
                <w:rFonts w:eastAsia="Times New Roman"/>
                <w:color w:val="FFFFFF"/>
                <w:sz w:val="18"/>
                <w:szCs w:val="18"/>
              </w:rPr>
            </w:pPr>
            <w:r w:rsidRPr="00CD11DE">
              <w:rPr>
                <w:rFonts w:eastAsia="Times New Roman"/>
                <w:bCs/>
                <w:color w:val="FFFFFF"/>
                <w:sz w:val="18"/>
                <w:szCs w:val="18"/>
              </w:rPr>
              <w:t>Add: tier 2 issuance</w:t>
            </w:r>
          </w:p>
        </w:tc>
        <w:tc>
          <w:tcPr>
            <w:tcW w:w="1245" w:type="pct"/>
            <w:tcBorders>
              <w:top w:val="nil"/>
              <w:left w:val="nil"/>
              <w:bottom w:val="single" w:sz="8" w:space="0" w:color="BFBFBF"/>
              <w:right w:val="single" w:sz="8" w:space="0" w:color="BFBFBF"/>
            </w:tcBorders>
            <w:shd w:val="clear" w:color="auto" w:fill="auto"/>
            <w:noWrap/>
            <w:vAlign w:val="center"/>
          </w:tcPr>
          <w:p w14:paraId="59D6C15C" w14:textId="21AC7546" w:rsidR="00E25E6B" w:rsidRPr="00CD11DE" w:rsidRDefault="00E25E6B" w:rsidP="00E25E6B">
            <w:pPr>
              <w:keepLines w:val="0"/>
              <w:spacing w:after="0" w:line="240" w:lineRule="auto"/>
              <w:jc w:val="right"/>
              <w:rPr>
                <w:rFonts w:eastAsia="Times New Roman"/>
                <w:color w:val="auto"/>
                <w:sz w:val="18"/>
                <w:szCs w:val="18"/>
              </w:rPr>
            </w:pPr>
            <w:r w:rsidRPr="00CD11DE">
              <w:rPr>
                <w:color w:val="auto"/>
                <w:sz w:val="18"/>
              </w:rPr>
              <w:t>1</w:t>
            </w:r>
            <w:r>
              <w:rPr>
                <w:color w:val="auto"/>
                <w:sz w:val="18"/>
              </w:rPr>
              <w:t>3</w:t>
            </w:r>
            <w:r w:rsidRPr="00CD11DE">
              <w:rPr>
                <w:color w:val="auto"/>
                <w:sz w:val="18"/>
              </w:rPr>
              <w:t>.7</w:t>
            </w:r>
          </w:p>
        </w:tc>
        <w:tc>
          <w:tcPr>
            <w:tcW w:w="1245" w:type="pct"/>
            <w:tcBorders>
              <w:top w:val="nil"/>
              <w:left w:val="nil"/>
              <w:bottom w:val="single" w:sz="8" w:space="0" w:color="BFBFBF"/>
              <w:right w:val="single" w:sz="8" w:space="0" w:color="BFBFBF"/>
            </w:tcBorders>
            <w:shd w:val="clear" w:color="auto" w:fill="auto"/>
            <w:noWrap/>
            <w:vAlign w:val="center"/>
          </w:tcPr>
          <w:p w14:paraId="1EC4D0F9" w14:textId="701BBE7E" w:rsidR="00E25E6B" w:rsidRPr="00CD11DE" w:rsidRDefault="00E25E6B" w:rsidP="00E25E6B">
            <w:pPr>
              <w:keepLines w:val="0"/>
              <w:spacing w:after="0" w:line="240" w:lineRule="auto"/>
              <w:jc w:val="right"/>
              <w:rPr>
                <w:rFonts w:eastAsia="Times New Roman"/>
                <w:color w:val="auto"/>
                <w:sz w:val="18"/>
                <w:szCs w:val="18"/>
              </w:rPr>
            </w:pPr>
            <w:r w:rsidRPr="00CD11DE">
              <w:rPr>
                <w:color w:val="auto"/>
                <w:sz w:val="18"/>
              </w:rPr>
              <w:t>18.7</w:t>
            </w:r>
          </w:p>
        </w:tc>
      </w:tr>
      <w:tr w:rsidR="00E25E6B" w:rsidRPr="00CD11DE" w14:paraId="18516F2C" w14:textId="77777777" w:rsidTr="006F3279">
        <w:trPr>
          <w:trHeight w:val="221"/>
        </w:trPr>
        <w:tc>
          <w:tcPr>
            <w:tcW w:w="2510" w:type="pct"/>
            <w:tcBorders>
              <w:top w:val="single" w:sz="8" w:space="0" w:color="FFFFFF"/>
              <w:left w:val="single" w:sz="8" w:space="0" w:color="FFFFFF"/>
              <w:bottom w:val="single" w:sz="8" w:space="0" w:color="FFFFFF"/>
              <w:right w:val="single" w:sz="8" w:space="0" w:color="FFFFFF"/>
            </w:tcBorders>
            <w:shd w:val="clear" w:color="auto" w:fill="06B1D6" w:themeFill="accent1"/>
            <w:vAlign w:val="center"/>
            <w:hideMark/>
          </w:tcPr>
          <w:p w14:paraId="1094361A" w14:textId="77777777" w:rsidR="00E25E6B" w:rsidRPr="00CD11DE" w:rsidRDefault="00E25E6B" w:rsidP="00E25E6B">
            <w:pPr>
              <w:keepLines w:val="0"/>
              <w:spacing w:after="0" w:line="240" w:lineRule="auto"/>
              <w:jc w:val="left"/>
              <w:rPr>
                <w:rFonts w:eastAsia="Times New Roman"/>
                <w:color w:val="FFFFFF"/>
                <w:sz w:val="18"/>
                <w:szCs w:val="18"/>
              </w:rPr>
            </w:pPr>
            <w:r w:rsidRPr="00CD11DE">
              <w:rPr>
                <w:rFonts w:eastAsia="Times New Roman"/>
                <w:color w:val="FFFFFF"/>
                <w:sz w:val="18"/>
                <w:szCs w:val="18"/>
              </w:rPr>
              <w:t>Less: deferred tax assets</w:t>
            </w:r>
          </w:p>
        </w:tc>
        <w:tc>
          <w:tcPr>
            <w:tcW w:w="1245" w:type="pct"/>
            <w:tcBorders>
              <w:top w:val="nil"/>
              <w:left w:val="nil"/>
              <w:bottom w:val="single" w:sz="8" w:space="0" w:color="BFBFBF"/>
              <w:right w:val="single" w:sz="8" w:space="0" w:color="BFBFBF"/>
            </w:tcBorders>
            <w:shd w:val="clear" w:color="auto" w:fill="auto"/>
            <w:noWrap/>
            <w:vAlign w:val="center"/>
          </w:tcPr>
          <w:p w14:paraId="20EC3221" w14:textId="56075703" w:rsidR="00E25E6B" w:rsidRPr="00CD11DE" w:rsidRDefault="00E25E6B" w:rsidP="00E25E6B">
            <w:pPr>
              <w:keepLines w:val="0"/>
              <w:spacing w:after="0" w:line="240" w:lineRule="auto"/>
              <w:jc w:val="right"/>
              <w:rPr>
                <w:rFonts w:eastAsia="Times New Roman"/>
                <w:color w:val="auto"/>
                <w:sz w:val="18"/>
                <w:szCs w:val="18"/>
              </w:rPr>
            </w:pPr>
            <w:r w:rsidRPr="00CD11DE">
              <w:rPr>
                <w:rFonts w:eastAsia="Times New Roman"/>
                <w:color w:val="auto"/>
                <w:sz w:val="18"/>
                <w:szCs w:val="18"/>
              </w:rPr>
              <w:t>(</w:t>
            </w:r>
            <w:r w:rsidR="00725C23">
              <w:rPr>
                <w:rFonts w:eastAsia="Times New Roman"/>
                <w:color w:val="auto"/>
                <w:sz w:val="18"/>
                <w:szCs w:val="18"/>
              </w:rPr>
              <w:t>2.1</w:t>
            </w:r>
            <w:r w:rsidRPr="00CD11DE">
              <w:rPr>
                <w:rFonts w:eastAsia="Times New Roman"/>
                <w:color w:val="auto"/>
                <w:sz w:val="18"/>
                <w:szCs w:val="18"/>
              </w:rPr>
              <w:t xml:space="preserve">) </w:t>
            </w:r>
          </w:p>
        </w:tc>
        <w:tc>
          <w:tcPr>
            <w:tcW w:w="1245" w:type="pct"/>
            <w:tcBorders>
              <w:top w:val="nil"/>
              <w:left w:val="nil"/>
              <w:bottom w:val="single" w:sz="8" w:space="0" w:color="BFBFBF"/>
              <w:right w:val="single" w:sz="8" w:space="0" w:color="BFBFBF"/>
            </w:tcBorders>
            <w:shd w:val="clear" w:color="auto" w:fill="auto"/>
            <w:noWrap/>
            <w:vAlign w:val="center"/>
            <w:hideMark/>
          </w:tcPr>
          <w:p w14:paraId="204BD5AF" w14:textId="4953DB3C" w:rsidR="00E25E6B" w:rsidRPr="00CD11DE" w:rsidRDefault="00E25E6B" w:rsidP="00E25E6B">
            <w:pPr>
              <w:keepLines w:val="0"/>
              <w:spacing w:after="0" w:line="240" w:lineRule="auto"/>
              <w:jc w:val="right"/>
              <w:rPr>
                <w:rFonts w:eastAsia="Times New Roman"/>
                <w:color w:val="auto"/>
                <w:sz w:val="18"/>
                <w:szCs w:val="18"/>
              </w:rPr>
            </w:pPr>
            <w:r w:rsidRPr="00CD11DE">
              <w:rPr>
                <w:rFonts w:eastAsia="Times New Roman"/>
                <w:color w:val="auto"/>
                <w:sz w:val="18"/>
                <w:szCs w:val="18"/>
              </w:rPr>
              <w:t xml:space="preserve">(4.8) </w:t>
            </w:r>
          </w:p>
        </w:tc>
      </w:tr>
      <w:tr w:rsidR="00E25E6B" w:rsidRPr="00CD11DE" w14:paraId="22F01B69" w14:textId="77777777" w:rsidTr="006F3279">
        <w:trPr>
          <w:trHeight w:val="221"/>
        </w:trPr>
        <w:tc>
          <w:tcPr>
            <w:tcW w:w="2510" w:type="pct"/>
            <w:tcBorders>
              <w:top w:val="single" w:sz="8" w:space="0" w:color="FFFFFF"/>
              <w:left w:val="single" w:sz="8" w:space="0" w:color="FFFFFF"/>
              <w:bottom w:val="single" w:sz="8" w:space="0" w:color="FFFFFF"/>
              <w:right w:val="single" w:sz="8" w:space="0" w:color="FFFFFF"/>
            </w:tcBorders>
            <w:shd w:val="clear" w:color="auto" w:fill="06B1D6" w:themeFill="accent1"/>
            <w:vAlign w:val="center"/>
            <w:hideMark/>
          </w:tcPr>
          <w:p w14:paraId="0722A13C" w14:textId="77777777" w:rsidR="00E25E6B" w:rsidRPr="00CD11DE" w:rsidRDefault="00E25E6B" w:rsidP="00E25E6B">
            <w:pPr>
              <w:keepLines w:val="0"/>
              <w:spacing w:after="0" w:line="240" w:lineRule="auto"/>
              <w:jc w:val="left"/>
              <w:rPr>
                <w:rFonts w:eastAsia="Times New Roman"/>
                <w:color w:val="FFFFFF"/>
                <w:sz w:val="18"/>
                <w:szCs w:val="18"/>
              </w:rPr>
            </w:pPr>
            <w:r w:rsidRPr="00CD11DE">
              <w:rPr>
                <w:rFonts w:eastAsia="Times New Roman"/>
                <w:bCs/>
                <w:color w:val="FFFFFF"/>
                <w:sz w:val="18"/>
                <w:szCs w:val="18"/>
              </w:rPr>
              <w:t>Less: intangible assets</w:t>
            </w:r>
          </w:p>
        </w:tc>
        <w:tc>
          <w:tcPr>
            <w:tcW w:w="1245" w:type="pct"/>
            <w:tcBorders>
              <w:top w:val="nil"/>
              <w:left w:val="nil"/>
              <w:bottom w:val="single" w:sz="8" w:space="0" w:color="BFBFBF"/>
              <w:right w:val="single" w:sz="8" w:space="0" w:color="BFBFBF"/>
            </w:tcBorders>
            <w:shd w:val="clear" w:color="auto" w:fill="auto"/>
            <w:noWrap/>
            <w:vAlign w:val="center"/>
          </w:tcPr>
          <w:p w14:paraId="569041C1" w14:textId="310E6AD5" w:rsidR="00E25E6B" w:rsidRPr="00CD11DE" w:rsidRDefault="00E25E6B" w:rsidP="00E25E6B">
            <w:pPr>
              <w:keepLines w:val="0"/>
              <w:spacing w:after="0" w:line="240" w:lineRule="auto"/>
              <w:jc w:val="right"/>
              <w:rPr>
                <w:rFonts w:eastAsia="Times New Roman"/>
                <w:color w:val="auto"/>
                <w:sz w:val="18"/>
                <w:szCs w:val="18"/>
              </w:rPr>
            </w:pPr>
            <w:r w:rsidRPr="00CD11DE">
              <w:rPr>
                <w:color w:val="auto"/>
                <w:sz w:val="18"/>
              </w:rPr>
              <w:t>(3.</w:t>
            </w:r>
            <w:r>
              <w:rPr>
                <w:color w:val="auto"/>
                <w:sz w:val="18"/>
              </w:rPr>
              <w:t>0</w:t>
            </w:r>
            <w:r w:rsidRPr="00CD11DE">
              <w:rPr>
                <w:color w:val="auto"/>
                <w:sz w:val="18"/>
              </w:rPr>
              <w:t>)</w:t>
            </w:r>
          </w:p>
        </w:tc>
        <w:tc>
          <w:tcPr>
            <w:tcW w:w="1245" w:type="pct"/>
            <w:tcBorders>
              <w:top w:val="nil"/>
              <w:left w:val="nil"/>
              <w:bottom w:val="single" w:sz="8" w:space="0" w:color="BFBFBF"/>
              <w:right w:val="single" w:sz="8" w:space="0" w:color="BFBFBF"/>
            </w:tcBorders>
            <w:shd w:val="clear" w:color="auto" w:fill="auto"/>
            <w:noWrap/>
            <w:vAlign w:val="center"/>
            <w:hideMark/>
          </w:tcPr>
          <w:p w14:paraId="77376379" w14:textId="5DEDA3BB" w:rsidR="00E25E6B" w:rsidRPr="00CD11DE" w:rsidRDefault="00E25E6B" w:rsidP="00E25E6B">
            <w:pPr>
              <w:keepLines w:val="0"/>
              <w:spacing w:after="0" w:line="240" w:lineRule="auto"/>
              <w:jc w:val="right"/>
              <w:rPr>
                <w:rFonts w:eastAsia="Times New Roman"/>
                <w:color w:val="auto"/>
                <w:sz w:val="18"/>
                <w:szCs w:val="18"/>
              </w:rPr>
            </w:pPr>
            <w:r w:rsidRPr="00CD11DE">
              <w:rPr>
                <w:color w:val="auto"/>
                <w:sz w:val="18"/>
              </w:rPr>
              <w:t>(3.2)</w:t>
            </w:r>
          </w:p>
        </w:tc>
      </w:tr>
      <w:tr w:rsidR="00E25E6B" w:rsidRPr="00CD11DE" w14:paraId="1C3DE572" w14:textId="77777777" w:rsidTr="006F3279">
        <w:trPr>
          <w:trHeight w:val="221"/>
        </w:trPr>
        <w:tc>
          <w:tcPr>
            <w:tcW w:w="2510" w:type="pct"/>
            <w:tcBorders>
              <w:top w:val="nil"/>
              <w:left w:val="single" w:sz="8" w:space="0" w:color="FFFFFF"/>
              <w:bottom w:val="single" w:sz="8" w:space="0" w:color="FFFFFF"/>
              <w:right w:val="single" w:sz="8" w:space="0" w:color="FFFFFF"/>
            </w:tcBorders>
            <w:shd w:val="clear" w:color="auto" w:fill="06B1D6" w:themeFill="accent1"/>
            <w:vAlign w:val="center"/>
          </w:tcPr>
          <w:p w14:paraId="705847C2" w14:textId="77777777" w:rsidR="00E25E6B" w:rsidRPr="00CD11DE" w:rsidRDefault="00E25E6B" w:rsidP="00E25E6B">
            <w:pPr>
              <w:keepLines w:val="0"/>
              <w:spacing w:after="0" w:line="240" w:lineRule="auto"/>
              <w:jc w:val="left"/>
              <w:rPr>
                <w:rFonts w:eastAsia="Times New Roman"/>
                <w:color w:val="FFFFFF"/>
                <w:sz w:val="18"/>
                <w:szCs w:val="18"/>
              </w:rPr>
            </w:pPr>
            <w:r w:rsidRPr="00CD11DE">
              <w:rPr>
                <w:rFonts w:eastAsia="Times New Roman"/>
                <w:color w:val="FFFFFF"/>
                <w:sz w:val="18"/>
                <w:szCs w:val="18"/>
              </w:rPr>
              <w:t>Less: additional value adjustment</w:t>
            </w:r>
          </w:p>
        </w:tc>
        <w:tc>
          <w:tcPr>
            <w:tcW w:w="1245" w:type="pct"/>
            <w:tcBorders>
              <w:top w:val="nil"/>
              <w:left w:val="nil"/>
              <w:bottom w:val="single" w:sz="8" w:space="0" w:color="auto"/>
              <w:right w:val="single" w:sz="8" w:space="0" w:color="BFBFBF"/>
            </w:tcBorders>
            <w:shd w:val="clear" w:color="auto" w:fill="auto"/>
            <w:noWrap/>
            <w:vAlign w:val="center"/>
          </w:tcPr>
          <w:p w14:paraId="05C5DBA9" w14:textId="00AF2025" w:rsidR="00E25E6B" w:rsidRPr="00CD11DE" w:rsidRDefault="00E25E6B" w:rsidP="00E25E6B">
            <w:pPr>
              <w:keepLines w:val="0"/>
              <w:spacing w:after="0" w:line="240" w:lineRule="auto"/>
              <w:jc w:val="right"/>
              <w:rPr>
                <w:rFonts w:eastAsia="Times New Roman"/>
                <w:color w:val="auto"/>
                <w:sz w:val="18"/>
                <w:szCs w:val="18"/>
              </w:rPr>
            </w:pPr>
            <w:r w:rsidRPr="00CD11DE">
              <w:rPr>
                <w:rFonts w:eastAsia="Times New Roman"/>
                <w:color w:val="auto"/>
                <w:sz w:val="18"/>
                <w:szCs w:val="18"/>
              </w:rPr>
              <w:t>(0.</w:t>
            </w:r>
            <w:r>
              <w:rPr>
                <w:rFonts w:eastAsia="Times New Roman"/>
                <w:color w:val="auto"/>
                <w:sz w:val="18"/>
                <w:szCs w:val="18"/>
              </w:rPr>
              <w:t>1</w:t>
            </w:r>
            <w:r w:rsidRPr="00CD11DE">
              <w:rPr>
                <w:rFonts w:eastAsia="Times New Roman"/>
                <w:color w:val="auto"/>
                <w:sz w:val="18"/>
                <w:szCs w:val="18"/>
              </w:rPr>
              <w:t>)</w:t>
            </w:r>
          </w:p>
        </w:tc>
        <w:tc>
          <w:tcPr>
            <w:tcW w:w="1245" w:type="pct"/>
            <w:tcBorders>
              <w:top w:val="nil"/>
              <w:left w:val="nil"/>
              <w:bottom w:val="single" w:sz="8" w:space="0" w:color="auto"/>
              <w:right w:val="single" w:sz="8" w:space="0" w:color="BFBFBF"/>
            </w:tcBorders>
            <w:shd w:val="clear" w:color="auto" w:fill="auto"/>
            <w:noWrap/>
            <w:vAlign w:val="center"/>
          </w:tcPr>
          <w:p w14:paraId="12889161" w14:textId="5970CB6F" w:rsidR="00E25E6B" w:rsidRPr="00CD11DE" w:rsidRDefault="00E25E6B" w:rsidP="00E25E6B">
            <w:pPr>
              <w:keepLines w:val="0"/>
              <w:spacing w:after="0" w:line="240" w:lineRule="auto"/>
              <w:jc w:val="right"/>
              <w:rPr>
                <w:rFonts w:eastAsia="Times New Roman"/>
                <w:color w:val="auto"/>
                <w:sz w:val="18"/>
                <w:szCs w:val="18"/>
              </w:rPr>
            </w:pPr>
            <w:r w:rsidRPr="00CD11DE">
              <w:rPr>
                <w:rFonts w:eastAsia="Times New Roman"/>
                <w:color w:val="auto"/>
                <w:sz w:val="18"/>
                <w:szCs w:val="18"/>
              </w:rPr>
              <w:t>(0.2)</w:t>
            </w:r>
          </w:p>
        </w:tc>
      </w:tr>
      <w:tr w:rsidR="008833D0" w:rsidRPr="00CD11DE" w14:paraId="5878CA11" w14:textId="77777777" w:rsidTr="006F3279">
        <w:trPr>
          <w:trHeight w:val="221"/>
        </w:trPr>
        <w:tc>
          <w:tcPr>
            <w:tcW w:w="2510" w:type="pct"/>
            <w:tcBorders>
              <w:top w:val="nil"/>
              <w:left w:val="single" w:sz="8" w:space="0" w:color="FFFFFF"/>
              <w:bottom w:val="single" w:sz="8" w:space="0" w:color="FFFFFF"/>
              <w:right w:val="single" w:sz="8" w:space="0" w:color="FFFFFF"/>
            </w:tcBorders>
            <w:shd w:val="clear" w:color="auto" w:fill="06B1D6" w:themeFill="accent1"/>
            <w:vAlign w:val="center"/>
            <w:hideMark/>
          </w:tcPr>
          <w:p w14:paraId="0D980A87" w14:textId="77777777" w:rsidR="008833D0" w:rsidRPr="00CD11DE" w:rsidRDefault="008833D0" w:rsidP="008833D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 capital resources</w:t>
            </w:r>
          </w:p>
        </w:tc>
        <w:tc>
          <w:tcPr>
            <w:tcW w:w="1245" w:type="pct"/>
            <w:tcBorders>
              <w:top w:val="single" w:sz="8" w:space="0" w:color="auto"/>
              <w:left w:val="nil"/>
              <w:bottom w:val="single" w:sz="8" w:space="0" w:color="auto"/>
              <w:right w:val="single" w:sz="8" w:space="0" w:color="BFBFBF"/>
            </w:tcBorders>
            <w:shd w:val="clear" w:color="auto" w:fill="auto"/>
            <w:noWrap/>
            <w:vAlign w:val="center"/>
          </w:tcPr>
          <w:p w14:paraId="1CD894CB" w14:textId="4CD89247" w:rsidR="008833D0" w:rsidRPr="00CD11DE" w:rsidRDefault="00E25E6B" w:rsidP="008833D0">
            <w:pPr>
              <w:keepLines w:val="0"/>
              <w:spacing w:after="0" w:line="240" w:lineRule="auto"/>
              <w:jc w:val="right"/>
              <w:rPr>
                <w:rFonts w:eastAsia="Times New Roman"/>
                <w:b/>
                <w:bCs/>
                <w:color w:val="auto"/>
                <w:sz w:val="18"/>
                <w:szCs w:val="18"/>
              </w:rPr>
            </w:pPr>
            <w:r w:rsidRPr="00E25E6B">
              <w:rPr>
                <w:rFonts w:eastAsia="Times New Roman"/>
                <w:b/>
                <w:bCs/>
                <w:color w:val="auto"/>
                <w:sz w:val="18"/>
                <w:szCs w:val="18"/>
              </w:rPr>
              <w:t>22</w:t>
            </w:r>
            <w:r w:rsidR="00725C23">
              <w:rPr>
                <w:rFonts w:eastAsia="Times New Roman"/>
                <w:b/>
                <w:bCs/>
                <w:color w:val="auto"/>
                <w:sz w:val="18"/>
                <w:szCs w:val="18"/>
              </w:rPr>
              <w:t>4.9</w:t>
            </w:r>
            <w:r w:rsidRPr="00E25E6B" w:rsidDel="008833D0">
              <w:rPr>
                <w:rFonts w:eastAsia="Times New Roman"/>
                <w:b/>
                <w:bCs/>
                <w:color w:val="auto"/>
                <w:sz w:val="18"/>
                <w:szCs w:val="18"/>
              </w:rPr>
              <w:t xml:space="preserve"> </w:t>
            </w:r>
          </w:p>
        </w:tc>
        <w:tc>
          <w:tcPr>
            <w:tcW w:w="1245" w:type="pct"/>
            <w:tcBorders>
              <w:top w:val="single" w:sz="8" w:space="0" w:color="auto"/>
              <w:left w:val="nil"/>
              <w:bottom w:val="single" w:sz="8" w:space="0" w:color="auto"/>
              <w:right w:val="single" w:sz="8" w:space="0" w:color="BFBFBF"/>
            </w:tcBorders>
            <w:shd w:val="clear" w:color="auto" w:fill="auto"/>
            <w:noWrap/>
            <w:vAlign w:val="center"/>
            <w:hideMark/>
          </w:tcPr>
          <w:p w14:paraId="3BD0E89E" w14:textId="2B7085AF" w:rsidR="008833D0" w:rsidRPr="00CD11DE" w:rsidRDefault="008833D0" w:rsidP="008833D0">
            <w:pPr>
              <w:keepLines w:val="0"/>
              <w:spacing w:after="0" w:line="240" w:lineRule="auto"/>
              <w:jc w:val="right"/>
              <w:rPr>
                <w:rFonts w:eastAsia="Times New Roman"/>
                <w:b/>
                <w:color w:val="auto"/>
                <w:sz w:val="18"/>
                <w:szCs w:val="18"/>
              </w:rPr>
            </w:pPr>
            <w:r w:rsidRPr="00CD11DE">
              <w:rPr>
                <w:rFonts w:eastAsia="Times New Roman"/>
                <w:b/>
                <w:bCs/>
                <w:color w:val="auto"/>
                <w:sz w:val="18"/>
                <w:szCs w:val="18"/>
              </w:rPr>
              <w:t>205.5</w:t>
            </w:r>
          </w:p>
        </w:tc>
      </w:tr>
    </w:tbl>
    <w:p w14:paraId="3F56472F" w14:textId="77777777" w:rsidR="00181F8B" w:rsidRPr="00C62D72" w:rsidRDefault="00181F8B" w:rsidP="00D02827">
      <w:pPr>
        <w:pStyle w:val="Heading3"/>
        <w:rPr>
          <w:lang w:val="en-GB"/>
        </w:rPr>
      </w:pPr>
      <w:bookmarkStart w:id="430" w:name="_Toc492021130"/>
      <w:r w:rsidRPr="00C62D72">
        <w:rPr>
          <w:lang w:val="en-GB"/>
        </w:rPr>
        <w:lastRenderedPageBreak/>
        <w:t>Regulatory capital requirement buffers CRD IV buffers</w:t>
      </w:r>
      <w:bookmarkEnd w:id="430"/>
      <w:r w:rsidRPr="00C62D72">
        <w:rPr>
          <w:lang w:val="en-GB"/>
        </w:rPr>
        <w:t xml:space="preserve">  </w:t>
      </w:r>
    </w:p>
    <w:p w14:paraId="6BF5B083" w14:textId="3E177EA0" w:rsidR="00181F8B" w:rsidRPr="00CD11DE" w:rsidRDefault="00181F8B" w:rsidP="00756B64">
      <w:pPr>
        <w:rPr>
          <w:sz w:val="20"/>
          <w:szCs w:val="20"/>
        </w:rPr>
      </w:pPr>
      <w:r w:rsidRPr="00CD11DE">
        <w:rPr>
          <w:sz w:val="20"/>
        </w:rPr>
        <w:t xml:space="preserve">The Bank is subject to a number of CET1 capital buffers over and above the required minimum CET1, Tier 1 and total capital ratios. These capital buffers were implemented under CRD IV. The buffers applicable to the Bank include the capital conservation buffer </w:t>
      </w:r>
      <w:r w:rsidR="0068258F" w:rsidRPr="00CD11DE">
        <w:rPr>
          <w:sz w:val="20"/>
        </w:rPr>
        <w:t>(CCB)</w:t>
      </w:r>
      <w:r w:rsidR="003D3927" w:rsidRPr="00CD11DE">
        <w:rPr>
          <w:sz w:val="20"/>
        </w:rPr>
        <w:t xml:space="preserve"> </w:t>
      </w:r>
      <w:r w:rsidR="00C41889" w:rsidRPr="00CD11DE">
        <w:rPr>
          <w:sz w:val="20"/>
        </w:rPr>
        <w:t xml:space="preserve">of 2.5% </w:t>
      </w:r>
      <w:r w:rsidRPr="00CD11DE">
        <w:rPr>
          <w:sz w:val="20"/>
        </w:rPr>
        <w:t>and the counter-cyclical buffer</w:t>
      </w:r>
      <w:r w:rsidR="0068258F" w:rsidRPr="00CD11DE">
        <w:rPr>
          <w:sz w:val="20"/>
        </w:rPr>
        <w:t xml:space="preserve"> (CCyB)</w:t>
      </w:r>
      <w:r w:rsidRPr="00CD11DE">
        <w:rPr>
          <w:sz w:val="20"/>
        </w:rPr>
        <w:t xml:space="preserve">. </w:t>
      </w:r>
      <w:r w:rsidR="00B642EF" w:rsidRPr="00CD11DE">
        <w:rPr>
          <w:sz w:val="20"/>
        </w:rPr>
        <w:t>The Financial Policy Committee (FPC) is responsible for setting the UK countercyclical capital buffer which creates a cushion for banks to absorb potential losses in the event of a stress.</w:t>
      </w:r>
      <w:r w:rsidRPr="00CD11DE">
        <w:rPr>
          <w:sz w:val="20"/>
          <w:szCs w:val="20"/>
        </w:rPr>
        <w:t xml:space="preserve"> </w:t>
      </w:r>
    </w:p>
    <w:p w14:paraId="5EB546B5" w14:textId="4AA8E01A" w:rsidR="00B642EF" w:rsidRPr="00CD11DE" w:rsidRDefault="00750332" w:rsidP="00750332">
      <w:pPr>
        <w:rPr>
          <w:sz w:val="20"/>
          <w:szCs w:val="20"/>
        </w:rPr>
      </w:pPr>
      <w:r w:rsidRPr="00CD11DE">
        <w:rPr>
          <w:sz w:val="20"/>
          <w:szCs w:val="20"/>
        </w:rPr>
        <w:t>As at 31</w:t>
      </w:r>
      <w:r w:rsidR="009730D1" w:rsidRPr="00CD11DE">
        <w:rPr>
          <w:sz w:val="20"/>
          <w:szCs w:val="20"/>
          <w:vertAlign w:val="superscript"/>
        </w:rPr>
        <w:t>st</w:t>
      </w:r>
      <w:r w:rsidR="009730D1" w:rsidRPr="00CD11DE">
        <w:rPr>
          <w:sz w:val="20"/>
          <w:szCs w:val="20"/>
        </w:rPr>
        <w:t xml:space="preserve"> </w:t>
      </w:r>
      <w:r w:rsidRPr="00CD11DE">
        <w:rPr>
          <w:sz w:val="20"/>
          <w:szCs w:val="20"/>
        </w:rPr>
        <w:t xml:space="preserve">December </w:t>
      </w:r>
      <w:r w:rsidR="0023087C">
        <w:rPr>
          <w:sz w:val="20"/>
          <w:szCs w:val="20"/>
        </w:rPr>
        <w:t>2024</w:t>
      </w:r>
      <w:r w:rsidRPr="00CD11DE">
        <w:rPr>
          <w:sz w:val="20"/>
          <w:szCs w:val="20"/>
        </w:rPr>
        <w:t xml:space="preserve">, </w:t>
      </w:r>
      <w:r w:rsidR="00E00721" w:rsidRPr="00CD11DE">
        <w:rPr>
          <w:sz w:val="20"/>
          <w:szCs w:val="20"/>
        </w:rPr>
        <w:t>the institution specific</w:t>
      </w:r>
      <w:r w:rsidR="00A67C1A" w:rsidRPr="00CD11DE">
        <w:rPr>
          <w:sz w:val="20"/>
          <w:szCs w:val="20"/>
        </w:rPr>
        <w:t xml:space="preserve"> CCyB </w:t>
      </w:r>
      <w:r w:rsidR="00E00721" w:rsidRPr="00CD11DE">
        <w:rPr>
          <w:sz w:val="20"/>
          <w:szCs w:val="20"/>
        </w:rPr>
        <w:t xml:space="preserve">rate for the </w:t>
      </w:r>
      <w:r w:rsidR="00A67C1A" w:rsidRPr="00CD11DE">
        <w:rPr>
          <w:sz w:val="20"/>
          <w:szCs w:val="20"/>
        </w:rPr>
        <w:t>B</w:t>
      </w:r>
      <w:r w:rsidR="00E00721" w:rsidRPr="00CD11DE">
        <w:rPr>
          <w:sz w:val="20"/>
          <w:szCs w:val="20"/>
        </w:rPr>
        <w:t>ank</w:t>
      </w:r>
      <w:r w:rsidR="00A67C1A" w:rsidRPr="00CD11DE">
        <w:rPr>
          <w:sz w:val="20"/>
          <w:szCs w:val="20"/>
        </w:rPr>
        <w:t xml:space="preserve"> </w:t>
      </w:r>
      <w:r w:rsidR="009730D1" w:rsidRPr="00CD11DE">
        <w:rPr>
          <w:sz w:val="20"/>
          <w:szCs w:val="20"/>
        </w:rPr>
        <w:t>is</w:t>
      </w:r>
      <w:r w:rsidR="00A67C1A" w:rsidRPr="00CD11DE">
        <w:rPr>
          <w:sz w:val="20"/>
          <w:szCs w:val="20"/>
        </w:rPr>
        <w:t xml:space="preserve"> </w:t>
      </w:r>
      <w:r w:rsidR="00576ECC">
        <w:rPr>
          <w:sz w:val="20"/>
          <w:szCs w:val="20"/>
        </w:rPr>
        <w:t>1.25</w:t>
      </w:r>
      <w:r w:rsidR="00E00721" w:rsidRPr="00576ECC">
        <w:rPr>
          <w:sz w:val="20"/>
        </w:rPr>
        <w:t>%</w:t>
      </w:r>
      <w:r w:rsidR="002149B2" w:rsidRPr="00CD11DE">
        <w:rPr>
          <w:sz w:val="20"/>
        </w:rPr>
        <w:t xml:space="preserve"> (</w:t>
      </w:r>
      <w:r w:rsidR="0023087C">
        <w:rPr>
          <w:sz w:val="20"/>
        </w:rPr>
        <w:t>2023</w:t>
      </w:r>
      <w:r w:rsidR="002149B2" w:rsidRPr="00CD11DE">
        <w:rPr>
          <w:sz w:val="20"/>
        </w:rPr>
        <w:t xml:space="preserve">: </w:t>
      </w:r>
      <w:r w:rsidR="008833D0" w:rsidRPr="00CD11DE">
        <w:rPr>
          <w:sz w:val="20"/>
          <w:szCs w:val="20"/>
        </w:rPr>
        <w:t>1.33</w:t>
      </w:r>
      <w:r w:rsidR="002149B2" w:rsidRPr="00CD11DE">
        <w:rPr>
          <w:sz w:val="20"/>
        </w:rPr>
        <w:t>%)</w:t>
      </w:r>
      <w:r w:rsidRPr="00CD11DE">
        <w:rPr>
          <w:sz w:val="20"/>
        </w:rPr>
        <w:t>.</w:t>
      </w:r>
      <w:r w:rsidRPr="00CD11DE">
        <w:rPr>
          <w:sz w:val="20"/>
          <w:szCs w:val="20"/>
        </w:rPr>
        <w:t xml:space="preserve"> The buffer requirement is based on the relevant risk weight assets multiplied by the </w:t>
      </w:r>
      <w:r w:rsidR="00A67C1A" w:rsidRPr="00CD11DE">
        <w:rPr>
          <w:sz w:val="20"/>
          <w:szCs w:val="20"/>
        </w:rPr>
        <w:t xml:space="preserve">specific </w:t>
      </w:r>
      <w:r w:rsidRPr="00CD11DE">
        <w:rPr>
          <w:sz w:val="20"/>
          <w:szCs w:val="20"/>
        </w:rPr>
        <w:t>buffer rate</w:t>
      </w:r>
      <w:r w:rsidR="007C2A45" w:rsidRPr="00CD11DE">
        <w:rPr>
          <w:sz w:val="20"/>
          <w:szCs w:val="20"/>
        </w:rPr>
        <w:t>.</w:t>
      </w:r>
      <w:r w:rsidR="004726FB" w:rsidRPr="00CD11DE">
        <w:rPr>
          <w:sz w:val="20"/>
          <w:szCs w:val="20"/>
        </w:rPr>
        <w:t xml:space="preserve"> </w:t>
      </w:r>
    </w:p>
    <w:p w14:paraId="2B3F79A7" w14:textId="0BA7DBB9" w:rsidR="00230265" w:rsidRPr="00CD11DE" w:rsidRDefault="00230265" w:rsidP="00750332">
      <w:pPr>
        <w:rPr>
          <w:sz w:val="20"/>
          <w:szCs w:val="20"/>
        </w:rPr>
      </w:pPr>
      <w:r w:rsidRPr="00CD11DE">
        <w:rPr>
          <w:sz w:val="20"/>
          <w:szCs w:val="20"/>
        </w:rPr>
        <w:t xml:space="preserve">Further information for years </w:t>
      </w:r>
      <w:r w:rsidR="0023087C">
        <w:rPr>
          <w:sz w:val="20"/>
          <w:szCs w:val="20"/>
        </w:rPr>
        <w:t>2024</w:t>
      </w:r>
      <w:r w:rsidR="002C17E9" w:rsidRPr="00CD11DE">
        <w:rPr>
          <w:sz w:val="20"/>
          <w:szCs w:val="20"/>
        </w:rPr>
        <w:t xml:space="preserve"> </w:t>
      </w:r>
      <w:r w:rsidRPr="00CD11DE">
        <w:rPr>
          <w:sz w:val="20"/>
          <w:szCs w:val="20"/>
        </w:rPr>
        <w:t xml:space="preserve">and </w:t>
      </w:r>
      <w:r w:rsidR="0023087C">
        <w:rPr>
          <w:sz w:val="20"/>
          <w:szCs w:val="20"/>
        </w:rPr>
        <w:t>2023</w:t>
      </w:r>
      <w:r w:rsidRPr="00CD11DE">
        <w:rPr>
          <w:sz w:val="20"/>
          <w:szCs w:val="20"/>
        </w:rPr>
        <w:t xml:space="preserve"> can be found within Annex 1, template KM1.</w:t>
      </w:r>
    </w:p>
    <w:p w14:paraId="4064BCE0" w14:textId="77777777" w:rsidR="00181F8B" w:rsidRPr="00C62D72" w:rsidRDefault="00181F8B" w:rsidP="00D02827">
      <w:pPr>
        <w:pStyle w:val="Heading3"/>
        <w:rPr>
          <w:lang w:val="en-GB"/>
        </w:rPr>
      </w:pPr>
      <w:bookmarkStart w:id="431" w:name="_Toc492021131"/>
      <w:r w:rsidRPr="00C62D72">
        <w:rPr>
          <w:lang w:val="en-GB"/>
        </w:rPr>
        <w:t>PRA buffer</w:t>
      </w:r>
      <w:bookmarkEnd w:id="431"/>
      <w:r w:rsidRPr="00C62D72">
        <w:rPr>
          <w:lang w:val="en-GB"/>
        </w:rPr>
        <w:t xml:space="preserve"> </w:t>
      </w:r>
    </w:p>
    <w:p w14:paraId="73AEBC88" w14:textId="60B0C8A9" w:rsidR="00181F8B" w:rsidRPr="00CD11DE" w:rsidRDefault="00181F8B" w:rsidP="00756B64">
      <w:pPr>
        <w:rPr>
          <w:sz w:val="20"/>
          <w:szCs w:val="20"/>
        </w:rPr>
      </w:pPr>
      <w:r w:rsidRPr="00CD11DE">
        <w:rPr>
          <w:sz w:val="20"/>
          <w:szCs w:val="20"/>
        </w:rPr>
        <w:t xml:space="preserve">The stress testing conducted in the Bank’s ICAAP forms the basis for the PRA buffer assessment. Following their review, the PRA sets a PRA buffer, which in combination with the CRD IV combined buffer is held to ensure the Bank can withstand an adverse economic downturn. </w:t>
      </w:r>
    </w:p>
    <w:p w14:paraId="1183A179" w14:textId="16265158" w:rsidR="00F728ED" w:rsidRPr="00CD11DE" w:rsidRDefault="00181F8B" w:rsidP="00756B64">
      <w:pPr>
        <w:rPr>
          <w:sz w:val="20"/>
          <w:szCs w:val="20"/>
        </w:rPr>
      </w:pPr>
      <w:r w:rsidRPr="00CD11DE">
        <w:rPr>
          <w:sz w:val="20"/>
          <w:szCs w:val="20"/>
        </w:rPr>
        <w:t>This is set by the PRA and is not disclosed.</w:t>
      </w:r>
    </w:p>
    <w:p w14:paraId="4FF1195C" w14:textId="6F0814E2" w:rsidR="00230265" w:rsidRPr="00CD11DE" w:rsidRDefault="00230265" w:rsidP="00756B64">
      <w:pPr>
        <w:rPr>
          <w:sz w:val="20"/>
          <w:szCs w:val="20"/>
        </w:rPr>
      </w:pPr>
      <w:r w:rsidRPr="00CD11DE">
        <w:rPr>
          <w:sz w:val="20"/>
          <w:szCs w:val="20"/>
        </w:rPr>
        <w:t xml:space="preserve">Further information for years </w:t>
      </w:r>
      <w:r w:rsidR="0023087C">
        <w:rPr>
          <w:sz w:val="20"/>
          <w:szCs w:val="20"/>
        </w:rPr>
        <w:t>2024</w:t>
      </w:r>
      <w:r w:rsidR="002C17E9" w:rsidRPr="00CD11DE">
        <w:rPr>
          <w:sz w:val="20"/>
          <w:szCs w:val="20"/>
        </w:rPr>
        <w:t xml:space="preserve"> </w:t>
      </w:r>
      <w:r w:rsidRPr="00CD11DE">
        <w:rPr>
          <w:sz w:val="20"/>
          <w:szCs w:val="20"/>
        </w:rPr>
        <w:t xml:space="preserve">and </w:t>
      </w:r>
      <w:r w:rsidR="0023087C">
        <w:rPr>
          <w:sz w:val="20"/>
          <w:szCs w:val="20"/>
        </w:rPr>
        <w:t>2023</w:t>
      </w:r>
      <w:r w:rsidR="002C17E9" w:rsidRPr="00CD11DE">
        <w:rPr>
          <w:sz w:val="20"/>
          <w:szCs w:val="20"/>
        </w:rPr>
        <w:t xml:space="preserve"> </w:t>
      </w:r>
      <w:r w:rsidRPr="00CD11DE">
        <w:rPr>
          <w:sz w:val="20"/>
          <w:szCs w:val="20"/>
        </w:rPr>
        <w:t>can be found within Annex 1, template KM1.</w:t>
      </w:r>
    </w:p>
    <w:p w14:paraId="01D66060" w14:textId="77777777" w:rsidR="00181F8B" w:rsidRPr="00C62D72" w:rsidRDefault="00C64853" w:rsidP="0023179E">
      <w:pPr>
        <w:pStyle w:val="Heading2"/>
        <w:rPr>
          <w:lang w:val="en-GB"/>
        </w:rPr>
      </w:pPr>
      <w:bookmarkStart w:id="432" w:name="_Toc492021132"/>
      <w:r w:rsidRPr="00C62D72">
        <w:rPr>
          <w:lang w:val="en-GB"/>
        </w:rPr>
        <w:tab/>
      </w:r>
      <w:bookmarkStart w:id="433" w:name="_Toc201575427"/>
      <w:r w:rsidR="00181F8B" w:rsidRPr="00C62D72">
        <w:rPr>
          <w:lang w:val="en-GB"/>
        </w:rPr>
        <w:t>Leverage ratio</w:t>
      </w:r>
      <w:bookmarkEnd w:id="432"/>
      <w:bookmarkEnd w:id="433"/>
      <w:r w:rsidR="00181F8B" w:rsidRPr="00C62D72">
        <w:rPr>
          <w:lang w:val="en-GB"/>
        </w:rPr>
        <w:t xml:space="preserve"> </w:t>
      </w:r>
    </w:p>
    <w:p w14:paraId="183BE5F2" w14:textId="77777777" w:rsidR="00181F8B" w:rsidRPr="00CD11DE" w:rsidRDefault="00181F8B" w:rsidP="00756B64">
      <w:pPr>
        <w:rPr>
          <w:sz w:val="20"/>
          <w:szCs w:val="20"/>
        </w:rPr>
      </w:pPr>
      <w:r w:rsidRPr="00CD11DE">
        <w:rPr>
          <w:sz w:val="20"/>
          <w:szCs w:val="20"/>
        </w:rPr>
        <w:t xml:space="preserve">The leverage ratio measures the relationship between the capital resources of the </w:t>
      </w:r>
      <w:r w:rsidR="00E57D22" w:rsidRPr="00CD11DE">
        <w:rPr>
          <w:sz w:val="20"/>
          <w:szCs w:val="20"/>
        </w:rPr>
        <w:t>Bank</w:t>
      </w:r>
      <w:r w:rsidRPr="00CD11DE">
        <w:rPr>
          <w:sz w:val="20"/>
          <w:szCs w:val="20"/>
        </w:rPr>
        <w:t xml:space="preserve"> and its total assets. The leverage ratio is calculated by dividing Tier 1 capital resources by a defined measure of on and off-balance sheet items.  </w:t>
      </w:r>
    </w:p>
    <w:p w14:paraId="4CF128B1" w14:textId="085938E3" w:rsidR="00181F8B" w:rsidRPr="00CD11DE" w:rsidRDefault="00E00721" w:rsidP="00756B64">
      <w:pPr>
        <w:rPr>
          <w:sz w:val="20"/>
          <w:szCs w:val="20"/>
        </w:rPr>
      </w:pPr>
      <w:r w:rsidRPr="00CD11DE">
        <w:rPr>
          <w:sz w:val="20"/>
        </w:rPr>
        <w:t>A</w:t>
      </w:r>
      <w:r w:rsidR="00181F8B" w:rsidRPr="00CD11DE">
        <w:rPr>
          <w:sz w:val="20"/>
        </w:rPr>
        <w:t xml:space="preserve">t present, the </w:t>
      </w:r>
      <w:r w:rsidR="00F728ED" w:rsidRPr="00CD11DE">
        <w:rPr>
          <w:sz w:val="20"/>
        </w:rPr>
        <w:t>Bank</w:t>
      </w:r>
      <w:r w:rsidR="00181F8B" w:rsidRPr="00CD11DE">
        <w:rPr>
          <w:sz w:val="20"/>
        </w:rPr>
        <w:t xml:space="preserve"> has no minimum leverage requirement as it is currently not within the scope of the UK Leverage Framework Regime as its deposit levels are less than £50 billion</w:t>
      </w:r>
      <w:r w:rsidR="00181F8B" w:rsidRPr="00CD11DE">
        <w:rPr>
          <w:sz w:val="20"/>
          <w:szCs w:val="20"/>
        </w:rPr>
        <w:t xml:space="preserve">. However, the </w:t>
      </w:r>
      <w:r w:rsidR="00F728ED" w:rsidRPr="00CD11DE">
        <w:rPr>
          <w:sz w:val="20"/>
          <w:szCs w:val="20"/>
        </w:rPr>
        <w:t>Bank</w:t>
      </w:r>
      <w:r w:rsidR="00181F8B" w:rsidRPr="00CD11DE">
        <w:rPr>
          <w:sz w:val="20"/>
          <w:szCs w:val="20"/>
        </w:rPr>
        <w:t xml:space="preserve"> maintains </w:t>
      </w:r>
      <w:r w:rsidR="00FA3667" w:rsidRPr="00CD11DE">
        <w:rPr>
          <w:sz w:val="20"/>
          <w:szCs w:val="20"/>
        </w:rPr>
        <w:t>the ratio</w:t>
      </w:r>
      <w:r w:rsidR="00181F8B" w:rsidRPr="00CD11DE">
        <w:rPr>
          <w:sz w:val="20"/>
          <w:szCs w:val="20"/>
        </w:rPr>
        <w:t xml:space="preserve"> well above the minimum leverage ratio requirement. </w:t>
      </w:r>
    </w:p>
    <w:p w14:paraId="4497048D" w14:textId="77777777" w:rsidR="003D0942" w:rsidRDefault="001568DD" w:rsidP="00AE4CE3">
      <w:pPr>
        <w:spacing w:after="194"/>
        <w:rPr>
          <w:sz w:val="20"/>
          <w:szCs w:val="20"/>
        </w:rPr>
      </w:pPr>
      <w:r w:rsidRPr="00CD11DE">
        <w:rPr>
          <w:sz w:val="20"/>
          <w:szCs w:val="20"/>
        </w:rPr>
        <w:t>The Bank</w:t>
      </w:r>
      <w:r w:rsidR="00577535" w:rsidRPr="00CD11DE">
        <w:rPr>
          <w:sz w:val="20"/>
          <w:szCs w:val="20"/>
        </w:rPr>
        <w:t>’</w:t>
      </w:r>
      <w:r w:rsidRPr="00CD11DE">
        <w:rPr>
          <w:sz w:val="20"/>
          <w:szCs w:val="20"/>
        </w:rPr>
        <w:t xml:space="preserve">s Leverage ratio as at </w:t>
      </w:r>
      <w:r w:rsidR="00AF5B29" w:rsidRPr="00CD11DE">
        <w:rPr>
          <w:sz w:val="20"/>
        </w:rPr>
        <w:t>31</w:t>
      </w:r>
      <w:r w:rsidR="00230265" w:rsidRPr="00CD11DE">
        <w:rPr>
          <w:sz w:val="20"/>
          <w:vertAlign w:val="superscript"/>
        </w:rPr>
        <w:t>st</w:t>
      </w:r>
      <w:r w:rsidR="00230265" w:rsidRPr="00CD11DE">
        <w:rPr>
          <w:sz w:val="20"/>
        </w:rPr>
        <w:t xml:space="preserve"> </w:t>
      </w:r>
      <w:r w:rsidR="00AF5B29" w:rsidRPr="00CD11DE">
        <w:rPr>
          <w:sz w:val="20"/>
        </w:rPr>
        <w:t xml:space="preserve">December </w:t>
      </w:r>
      <w:r w:rsidR="0023087C">
        <w:rPr>
          <w:sz w:val="20"/>
        </w:rPr>
        <w:t>2024</w:t>
      </w:r>
      <w:r w:rsidR="002C17E9" w:rsidRPr="00CD11DE">
        <w:rPr>
          <w:sz w:val="20"/>
        </w:rPr>
        <w:t xml:space="preserve"> </w:t>
      </w:r>
      <w:r w:rsidRPr="00CD11DE">
        <w:rPr>
          <w:sz w:val="20"/>
        </w:rPr>
        <w:t xml:space="preserve">is </w:t>
      </w:r>
      <w:r w:rsidR="00576ECC" w:rsidRPr="00576ECC">
        <w:rPr>
          <w:sz w:val="20"/>
        </w:rPr>
        <w:t>7.7</w:t>
      </w:r>
      <w:r w:rsidR="00014345" w:rsidRPr="00576ECC">
        <w:rPr>
          <w:sz w:val="20"/>
        </w:rPr>
        <w:t>%</w:t>
      </w:r>
      <w:r w:rsidR="00014345" w:rsidRPr="00CD11DE">
        <w:rPr>
          <w:sz w:val="20"/>
          <w:szCs w:val="20"/>
        </w:rPr>
        <w:t xml:space="preserve"> (</w:t>
      </w:r>
      <w:r w:rsidR="0023087C">
        <w:rPr>
          <w:sz w:val="20"/>
          <w:szCs w:val="20"/>
        </w:rPr>
        <w:t>2023</w:t>
      </w:r>
      <w:r w:rsidR="005519D1" w:rsidRPr="00CD11DE">
        <w:rPr>
          <w:sz w:val="20"/>
          <w:szCs w:val="20"/>
        </w:rPr>
        <w:t>:</w:t>
      </w:r>
      <w:r w:rsidR="00014345" w:rsidRPr="00CD11DE">
        <w:rPr>
          <w:sz w:val="20"/>
          <w:szCs w:val="20"/>
        </w:rPr>
        <w:t xml:space="preserve"> </w:t>
      </w:r>
      <w:r w:rsidR="008833D0" w:rsidRPr="00CD11DE">
        <w:rPr>
          <w:sz w:val="20"/>
        </w:rPr>
        <w:t>7.8</w:t>
      </w:r>
      <w:r w:rsidR="00014345" w:rsidRPr="00CD11DE">
        <w:rPr>
          <w:sz w:val="20"/>
          <w:szCs w:val="20"/>
        </w:rPr>
        <w:t>%)</w:t>
      </w:r>
      <w:r w:rsidR="001136FF" w:rsidRPr="00CD11DE">
        <w:rPr>
          <w:sz w:val="20"/>
          <w:szCs w:val="20"/>
        </w:rPr>
        <w:t>.</w:t>
      </w:r>
      <w:r w:rsidR="00230265" w:rsidRPr="00CD11DE">
        <w:rPr>
          <w:sz w:val="20"/>
          <w:szCs w:val="20"/>
        </w:rPr>
        <w:t xml:space="preserve"> Further information for years </w:t>
      </w:r>
      <w:r w:rsidR="0023087C">
        <w:rPr>
          <w:sz w:val="20"/>
          <w:szCs w:val="20"/>
        </w:rPr>
        <w:t>2024</w:t>
      </w:r>
      <w:r w:rsidR="002C17E9" w:rsidRPr="00CD11DE">
        <w:rPr>
          <w:sz w:val="20"/>
          <w:szCs w:val="20"/>
        </w:rPr>
        <w:t xml:space="preserve"> </w:t>
      </w:r>
      <w:r w:rsidR="00230265" w:rsidRPr="00CD11DE">
        <w:rPr>
          <w:sz w:val="20"/>
          <w:szCs w:val="20"/>
        </w:rPr>
        <w:t xml:space="preserve">and </w:t>
      </w:r>
      <w:r w:rsidR="0023087C">
        <w:rPr>
          <w:sz w:val="20"/>
          <w:szCs w:val="20"/>
        </w:rPr>
        <w:t>2023</w:t>
      </w:r>
      <w:r w:rsidR="002C17E9" w:rsidRPr="00CD11DE">
        <w:rPr>
          <w:sz w:val="20"/>
          <w:szCs w:val="20"/>
        </w:rPr>
        <w:t xml:space="preserve"> </w:t>
      </w:r>
      <w:r w:rsidR="00230265" w:rsidRPr="00CD11DE">
        <w:rPr>
          <w:sz w:val="20"/>
          <w:szCs w:val="20"/>
        </w:rPr>
        <w:t>can be found within Annex 1, template KM1.</w:t>
      </w:r>
    </w:p>
    <w:p w14:paraId="565D886A" w14:textId="77777777" w:rsidR="003D0942" w:rsidRDefault="003D0942" w:rsidP="00AE4CE3">
      <w:pPr>
        <w:spacing w:after="194"/>
        <w:rPr>
          <w:sz w:val="20"/>
          <w:szCs w:val="20"/>
        </w:rPr>
      </w:pPr>
    </w:p>
    <w:p w14:paraId="0EDCA9E7" w14:textId="77777777" w:rsidR="003D0942" w:rsidRDefault="003D0942" w:rsidP="00AE4CE3">
      <w:pPr>
        <w:spacing w:after="194"/>
        <w:rPr>
          <w:sz w:val="20"/>
          <w:szCs w:val="20"/>
        </w:rPr>
      </w:pPr>
    </w:p>
    <w:p w14:paraId="2C0D55BA" w14:textId="77777777" w:rsidR="003D0942" w:rsidRDefault="003D0942" w:rsidP="00AE4CE3">
      <w:pPr>
        <w:spacing w:after="194"/>
        <w:rPr>
          <w:sz w:val="20"/>
          <w:szCs w:val="20"/>
        </w:rPr>
      </w:pPr>
    </w:p>
    <w:p w14:paraId="5C548E4D" w14:textId="77777777" w:rsidR="003D0942" w:rsidRDefault="003D0942" w:rsidP="00AE4CE3">
      <w:pPr>
        <w:spacing w:after="194"/>
        <w:rPr>
          <w:sz w:val="20"/>
          <w:szCs w:val="20"/>
        </w:rPr>
      </w:pPr>
    </w:p>
    <w:p w14:paraId="6F1030F0" w14:textId="77777777" w:rsidR="003D0942" w:rsidRDefault="003D0942" w:rsidP="00AE4CE3">
      <w:pPr>
        <w:spacing w:after="194"/>
        <w:rPr>
          <w:sz w:val="20"/>
          <w:szCs w:val="20"/>
        </w:rPr>
      </w:pPr>
    </w:p>
    <w:p w14:paraId="5B326417" w14:textId="77777777" w:rsidR="003D0942" w:rsidRPr="00D07D93" w:rsidRDefault="003D0942" w:rsidP="003D0942">
      <w:pPr>
        <w:jc w:val="center"/>
        <w:rPr>
          <w:sz w:val="18"/>
          <w:szCs w:val="18"/>
        </w:rPr>
      </w:pPr>
      <w:r w:rsidRPr="00D07D93">
        <w:rPr>
          <w:b/>
          <w:bCs/>
          <w:sz w:val="20"/>
          <w:szCs w:val="20"/>
        </w:rPr>
        <w:t>[Remainder of page intentionally left blank]</w:t>
      </w:r>
    </w:p>
    <w:p w14:paraId="1D273740" w14:textId="32E3FA90" w:rsidR="00715BF6" w:rsidRPr="00CD11DE" w:rsidRDefault="001D2BD5" w:rsidP="00AE4CE3">
      <w:pPr>
        <w:spacing w:after="194"/>
        <w:rPr>
          <w:sz w:val="20"/>
          <w:szCs w:val="20"/>
        </w:rPr>
      </w:pPr>
      <w:r w:rsidRPr="00CD11DE">
        <w:rPr>
          <w:sz w:val="20"/>
          <w:szCs w:val="20"/>
        </w:rPr>
        <w:br w:type="page"/>
      </w:r>
    </w:p>
    <w:p w14:paraId="479AD649" w14:textId="77777777" w:rsidR="005E3C58" w:rsidRPr="00C62D72" w:rsidRDefault="009F0AFC" w:rsidP="00285B0B">
      <w:pPr>
        <w:pStyle w:val="Heading1"/>
        <w:rPr>
          <w:rFonts w:ascii="Arial" w:hAnsi="Arial"/>
          <w:lang w:val="en-GB"/>
        </w:rPr>
      </w:pPr>
      <w:bookmarkStart w:id="434" w:name="_Toc492021133"/>
      <w:r w:rsidRPr="00C62D72">
        <w:rPr>
          <w:lang w:val="en-GB"/>
        </w:rPr>
        <w:lastRenderedPageBreak/>
        <w:tab/>
      </w:r>
      <w:bookmarkStart w:id="435" w:name="_Toc4517448"/>
      <w:bookmarkStart w:id="436" w:name="_Toc201575428"/>
      <w:r w:rsidR="005E3C58" w:rsidRPr="00C62D72">
        <w:rPr>
          <w:rFonts w:ascii="Arial" w:hAnsi="Arial"/>
          <w:lang w:val="en-GB"/>
        </w:rPr>
        <w:t>Remuneration Code Disclosures</w:t>
      </w:r>
      <w:bookmarkEnd w:id="435"/>
      <w:bookmarkEnd w:id="436"/>
    </w:p>
    <w:p w14:paraId="2A1CFED1" w14:textId="77777777" w:rsidR="002F3E5B" w:rsidRPr="00CD11DE" w:rsidRDefault="002F3E5B" w:rsidP="00C1159A">
      <w:pPr>
        <w:spacing w:line="240" w:lineRule="auto"/>
        <w:rPr>
          <w:sz w:val="20"/>
          <w:szCs w:val="20"/>
        </w:rPr>
      </w:pPr>
      <w:r w:rsidRPr="00CD11DE">
        <w:rPr>
          <w:sz w:val="20"/>
          <w:szCs w:val="20"/>
        </w:rPr>
        <w:t xml:space="preserve">The financial services regulator issued its Policy Statement SS2/17 (February 2023) and UK CRR Article 450, which set out their requirements in this regard. The Remuneration Code (Code) is set out in SYSC 19A of the FCA Handbook. </w:t>
      </w:r>
    </w:p>
    <w:p w14:paraId="356854B2" w14:textId="77777777" w:rsidR="002F3E5B" w:rsidRPr="00CD11DE" w:rsidRDefault="002F3E5B" w:rsidP="00C1159A">
      <w:pPr>
        <w:spacing w:line="240" w:lineRule="auto"/>
        <w:rPr>
          <w:sz w:val="20"/>
          <w:szCs w:val="20"/>
        </w:rPr>
      </w:pPr>
      <w:r w:rsidRPr="00CD11DE">
        <w:rPr>
          <w:b/>
          <w:bCs/>
          <w:sz w:val="20"/>
          <w:szCs w:val="20"/>
        </w:rPr>
        <w:t>Approach to remuneration and policy</w:t>
      </w:r>
    </w:p>
    <w:p w14:paraId="7E85F00D" w14:textId="77777777" w:rsidR="002F3E5B" w:rsidRPr="00CD11DE" w:rsidRDefault="002F3E5B" w:rsidP="00C1159A">
      <w:pPr>
        <w:spacing w:line="240" w:lineRule="auto"/>
        <w:rPr>
          <w:sz w:val="20"/>
          <w:szCs w:val="20"/>
        </w:rPr>
      </w:pPr>
      <w:r w:rsidRPr="00CD11DE">
        <w:rPr>
          <w:sz w:val="20"/>
          <w:szCs w:val="20"/>
        </w:rPr>
        <w:t xml:space="preserve">Al Rayan Bank PLC qualifies as a Tier 3 firm under the Code. It is required to disclose certain qualitative items and quantitative remuneration items.    </w:t>
      </w:r>
    </w:p>
    <w:p w14:paraId="7357162F" w14:textId="77777777" w:rsidR="002F3E5B" w:rsidRPr="00CD11DE" w:rsidRDefault="002F3E5B" w:rsidP="00C1159A">
      <w:pPr>
        <w:spacing w:line="240" w:lineRule="auto"/>
        <w:rPr>
          <w:sz w:val="20"/>
          <w:szCs w:val="20"/>
        </w:rPr>
      </w:pPr>
      <w:r w:rsidRPr="00CD11DE">
        <w:rPr>
          <w:sz w:val="20"/>
          <w:szCs w:val="20"/>
        </w:rPr>
        <w:t>This statement sets out the disclosures required under the Code as they apply to the Bank. The Remuneration and Nomination Committee (Remco</w:t>
      </w:r>
      <w:r>
        <w:rPr>
          <w:sz w:val="20"/>
          <w:szCs w:val="20"/>
        </w:rPr>
        <w:t>)</w:t>
      </w:r>
      <w:r w:rsidRPr="00CD11DE" w:rsidDel="00B7073B">
        <w:rPr>
          <w:sz w:val="20"/>
          <w:szCs w:val="20"/>
        </w:rPr>
        <w:t xml:space="preserve"> </w:t>
      </w:r>
      <w:r w:rsidRPr="00CD11DE">
        <w:rPr>
          <w:sz w:val="20"/>
          <w:szCs w:val="20"/>
        </w:rPr>
        <w:t xml:space="preserve">is responsible for the governance and implementation of the Code and the annual review of adherence to it. The Remco is comprised of </w:t>
      </w:r>
      <w:r>
        <w:rPr>
          <w:sz w:val="20"/>
          <w:szCs w:val="20"/>
        </w:rPr>
        <w:t xml:space="preserve">two independent non-Executive Directors and a Shareholder Director. </w:t>
      </w:r>
      <w:r w:rsidRPr="00CD11DE">
        <w:rPr>
          <w:sz w:val="20"/>
          <w:szCs w:val="20"/>
        </w:rPr>
        <w:t>The Company Secretary or their nominee is secretary of the committee but carries no vote in decision making. The majority of non-Executive Directors are regarded as being independent of Al Rayan Bank and possess the necessary skills to exercise the appropriate judgement. The Remco has recently reviewed and approved the Bank’s remuneration polic</w:t>
      </w:r>
      <w:r>
        <w:rPr>
          <w:sz w:val="20"/>
          <w:szCs w:val="20"/>
        </w:rPr>
        <w:t>y.</w:t>
      </w:r>
      <w:r w:rsidRPr="00CD11DE">
        <w:rPr>
          <w:sz w:val="20"/>
          <w:szCs w:val="20"/>
        </w:rPr>
        <w:t xml:space="preserve"> </w:t>
      </w:r>
    </w:p>
    <w:p w14:paraId="6EFB05D4" w14:textId="77777777" w:rsidR="002F3E5B" w:rsidRPr="00CD11DE" w:rsidRDefault="002F3E5B" w:rsidP="00C1159A">
      <w:pPr>
        <w:spacing w:line="240" w:lineRule="auto"/>
        <w:rPr>
          <w:b/>
          <w:bCs/>
          <w:sz w:val="20"/>
          <w:szCs w:val="20"/>
        </w:rPr>
      </w:pPr>
      <w:r w:rsidRPr="00CD11DE">
        <w:rPr>
          <w:b/>
          <w:bCs/>
          <w:sz w:val="20"/>
          <w:szCs w:val="20"/>
        </w:rPr>
        <w:t xml:space="preserve">Board recruitment </w:t>
      </w:r>
    </w:p>
    <w:p w14:paraId="2F1B807D" w14:textId="77777777" w:rsidR="002F3E5B" w:rsidRPr="00CD11DE" w:rsidRDefault="002F3E5B" w:rsidP="00C1159A">
      <w:pPr>
        <w:spacing w:line="240" w:lineRule="auto"/>
        <w:rPr>
          <w:b/>
          <w:bCs/>
          <w:sz w:val="20"/>
          <w:szCs w:val="20"/>
        </w:rPr>
      </w:pPr>
      <w:r w:rsidRPr="00CD11DE">
        <w:rPr>
          <w:b/>
          <w:bCs/>
          <w:sz w:val="20"/>
          <w:szCs w:val="20"/>
        </w:rPr>
        <w:t xml:space="preserve">Appointment of Executive Directors </w:t>
      </w:r>
    </w:p>
    <w:p w14:paraId="4D1D1998" w14:textId="77777777" w:rsidR="002F3E5B" w:rsidRPr="00CD11DE" w:rsidRDefault="002F3E5B" w:rsidP="00C1159A">
      <w:pPr>
        <w:spacing w:line="240" w:lineRule="auto"/>
        <w:rPr>
          <w:sz w:val="20"/>
          <w:szCs w:val="20"/>
        </w:rPr>
      </w:pPr>
      <w:r w:rsidRPr="00CD11DE">
        <w:rPr>
          <w:sz w:val="20"/>
          <w:szCs w:val="20"/>
        </w:rPr>
        <w:t xml:space="preserve">A new Executive Director would be recruited on terms in accordance with the approved Remuneration Policy at that time. The Bank’s Remuneration Policy balances the need to have appropriate remuneration levels with the ability to attract high-performing individuals to the Bank. With this in mind, the starting point for the Remco in setting a remuneration package for a new Executive Director will be to structure a package in accordance with the firm’s Remuneration Policy, based on the individual’s knowledge and experience. </w:t>
      </w:r>
    </w:p>
    <w:p w14:paraId="706BC26B" w14:textId="77777777" w:rsidR="002F3E5B" w:rsidRPr="00CD11DE" w:rsidRDefault="002F3E5B" w:rsidP="00C1159A">
      <w:pPr>
        <w:spacing w:line="240" w:lineRule="auto"/>
        <w:rPr>
          <w:sz w:val="20"/>
          <w:szCs w:val="20"/>
        </w:rPr>
      </w:pPr>
      <w:r w:rsidRPr="00CD11DE">
        <w:rPr>
          <w:sz w:val="20"/>
          <w:szCs w:val="20"/>
        </w:rPr>
        <w:t xml:space="preserve">Remco recognises that, when recruiting externally in particular, it may be necessary to compensate an individual to ensure that they are remunerated effectively. The areas where Remco may exercise its discretion in order to achieve this are set out in the Remuneration Policy. This may arise in particular in relation to bonus and incentive plans given that variable performance-related pay is widely used in the financial services industry to incentivise senior management. </w:t>
      </w:r>
    </w:p>
    <w:p w14:paraId="710E79C8" w14:textId="77777777" w:rsidR="002F3E5B" w:rsidRPr="00CD11DE" w:rsidRDefault="002F3E5B" w:rsidP="00C1159A">
      <w:pPr>
        <w:spacing w:line="240" w:lineRule="auto"/>
        <w:rPr>
          <w:b/>
          <w:bCs/>
          <w:sz w:val="20"/>
          <w:szCs w:val="20"/>
        </w:rPr>
      </w:pPr>
      <w:r w:rsidRPr="00CD11DE">
        <w:rPr>
          <w:b/>
          <w:bCs/>
          <w:sz w:val="20"/>
          <w:szCs w:val="20"/>
        </w:rPr>
        <w:t>Appointment of Non-Executive Directors</w:t>
      </w:r>
    </w:p>
    <w:p w14:paraId="5362D1AF" w14:textId="77777777" w:rsidR="002F3E5B" w:rsidRPr="00CD11DE" w:rsidRDefault="002F3E5B" w:rsidP="00C1159A">
      <w:pPr>
        <w:spacing w:line="240" w:lineRule="auto"/>
        <w:rPr>
          <w:sz w:val="20"/>
          <w:szCs w:val="20"/>
        </w:rPr>
      </w:pPr>
      <w:r w:rsidRPr="00CD11DE">
        <w:rPr>
          <w:sz w:val="20"/>
          <w:szCs w:val="20"/>
        </w:rPr>
        <w:t>A new Non-Executive Director would be recruited on terms in accordance with the approved Remuneration Policy at that time. The Board has delegated specific powers and authority to Remco to lead the appointments process for nominations to fill Board vacancies. It is also responsible for keeping the size, structure and composition of the Board under regular review, and for making recommendations to the Board with regard to any changes necessary.</w:t>
      </w:r>
    </w:p>
    <w:p w14:paraId="1113134C" w14:textId="77777777" w:rsidR="002F3E5B" w:rsidRPr="00CD11DE" w:rsidRDefault="002F3E5B" w:rsidP="00C1159A">
      <w:pPr>
        <w:spacing w:line="240" w:lineRule="auto"/>
        <w:rPr>
          <w:sz w:val="20"/>
          <w:szCs w:val="20"/>
        </w:rPr>
      </w:pPr>
      <w:r w:rsidRPr="00CD11DE">
        <w:rPr>
          <w:sz w:val="20"/>
          <w:szCs w:val="20"/>
        </w:rPr>
        <w:t>Remco also formulates succession plans for the Chairman, Non-Executive Directors, and the senior Executives. Before an appointment is made by the Board, Remco evaluates the balance of skills, knowledge and experience on the Board and, in the light of this evaluation, prepares a description of the role and capabilities required for a particular appointment. In identifying suitable candidates, Remco will:</w:t>
      </w:r>
    </w:p>
    <w:p w14:paraId="23D81397" w14:textId="77777777" w:rsidR="002F3E5B" w:rsidRPr="00CD11DE" w:rsidRDefault="002F3E5B" w:rsidP="00C1159A">
      <w:pPr>
        <w:spacing w:after="0" w:line="240" w:lineRule="auto"/>
        <w:rPr>
          <w:sz w:val="20"/>
          <w:szCs w:val="20"/>
        </w:rPr>
      </w:pPr>
      <w:r w:rsidRPr="00CD11DE">
        <w:rPr>
          <w:sz w:val="20"/>
          <w:szCs w:val="20"/>
        </w:rPr>
        <w:t>•</w:t>
      </w:r>
      <w:r w:rsidRPr="00CD11DE">
        <w:rPr>
          <w:sz w:val="20"/>
          <w:szCs w:val="20"/>
        </w:rPr>
        <w:tab/>
        <w:t>use open advertising or the services of external advisers to facilitate the search;</w:t>
      </w:r>
    </w:p>
    <w:p w14:paraId="33745E8C" w14:textId="77777777" w:rsidR="002F3E5B" w:rsidRPr="00CD11DE" w:rsidRDefault="002F3E5B" w:rsidP="00C1159A">
      <w:pPr>
        <w:spacing w:after="0" w:line="240" w:lineRule="auto"/>
        <w:rPr>
          <w:sz w:val="20"/>
          <w:szCs w:val="20"/>
        </w:rPr>
      </w:pPr>
      <w:r w:rsidRPr="00CD11DE">
        <w:rPr>
          <w:sz w:val="20"/>
          <w:szCs w:val="20"/>
        </w:rPr>
        <w:t>•</w:t>
      </w:r>
      <w:r w:rsidRPr="00CD11DE">
        <w:rPr>
          <w:sz w:val="20"/>
          <w:szCs w:val="20"/>
        </w:rPr>
        <w:tab/>
        <w:t>consider candidates from a wide range of backgrounds; and</w:t>
      </w:r>
    </w:p>
    <w:p w14:paraId="125C00C5" w14:textId="77777777" w:rsidR="002F3E5B" w:rsidRPr="00CD11DE" w:rsidRDefault="002F3E5B" w:rsidP="00C1159A">
      <w:pPr>
        <w:spacing w:after="0" w:line="240" w:lineRule="auto"/>
        <w:ind w:left="720" w:hanging="720"/>
        <w:rPr>
          <w:sz w:val="20"/>
          <w:szCs w:val="20"/>
        </w:rPr>
      </w:pPr>
      <w:r w:rsidRPr="00CD11DE">
        <w:rPr>
          <w:sz w:val="20"/>
          <w:szCs w:val="20"/>
        </w:rPr>
        <w:t>•</w:t>
      </w:r>
      <w:r w:rsidRPr="00CD11DE">
        <w:rPr>
          <w:sz w:val="20"/>
          <w:szCs w:val="20"/>
        </w:rPr>
        <w:tab/>
        <w:t xml:space="preserve">consider candidates on merit and against objective criteria, including reference to the FCA and PRA’s “fit and proper” test, and the competence and capability criteria set out as part of their approach to approving individuals. Care is also taken to ensure appointees have enough time available to devote to the position on an ongoing basis. </w:t>
      </w:r>
    </w:p>
    <w:p w14:paraId="6E964C39" w14:textId="77777777" w:rsidR="002F3E5B" w:rsidRPr="00CD11DE" w:rsidRDefault="002F3E5B" w:rsidP="00C1159A">
      <w:pPr>
        <w:spacing w:line="240" w:lineRule="auto"/>
        <w:rPr>
          <w:sz w:val="20"/>
          <w:szCs w:val="20"/>
        </w:rPr>
      </w:pPr>
      <w:r w:rsidRPr="00CD11DE">
        <w:rPr>
          <w:sz w:val="20"/>
          <w:szCs w:val="20"/>
        </w:rPr>
        <w:lastRenderedPageBreak/>
        <w:t xml:space="preserve">Responsibility for determining the individual remuneration and benefits package of each of the Bank’s Executive Directors and the Chairman lies with the Remco. </w:t>
      </w:r>
    </w:p>
    <w:p w14:paraId="16F70B90" w14:textId="77777777" w:rsidR="002F3E5B" w:rsidRPr="00CD11DE" w:rsidRDefault="002F3E5B" w:rsidP="00C1159A">
      <w:pPr>
        <w:spacing w:line="240" w:lineRule="auto"/>
        <w:rPr>
          <w:sz w:val="20"/>
          <w:szCs w:val="20"/>
        </w:rPr>
      </w:pPr>
      <w:r w:rsidRPr="00CD11DE">
        <w:rPr>
          <w:sz w:val="20"/>
          <w:szCs w:val="20"/>
        </w:rPr>
        <w:t>The remuneration of Non-Executive Directors is set by the Board. No Director or senior manager is involved in any decisions as to their own remuneration.</w:t>
      </w:r>
    </w:p>
    <w:p w14:paraId="1E8359AC" w14:textId="77777777" w:rsidR="002F3E5B" w:rsidRPr="00CD11DE" w:rsidRDefault="002F3E5B" w:rsidP="00C1159A">
      <w:pPr>
        <w:spacing w:line="240" w:lineRule="auto"/>
        <w:rPr>
          <w:b/>
          <w:bCs/>
          <w:sz w:val="20"/>
          <w:szCs w:val="20"/>
        </w:rPr>
      </w:pPr>
      <w:r w:rsidRPr="00CD11DE">
        <w:rPr>
          <w:b/>
          <w:bCs/>
          <w:sz w:val="20"/>
          <w:szCs w:val="20"/>
        </w:rPr>
        <w:t>Diversity &amp; Inclusion</w:t>
      </w:r>
    </w:p>
    <w:p w14:paraId="3013E477" w14:textId="77777777" w:rsidR="002F3E5B" w:rsidRPr="00CD11DE" w:rsidRDefault="002F3E5B" w:rsidP="002F3E5B">
      <w:pPr>
        <w:spacing w:line="240" w:lineRule="auto"/>
        <w:rPr>
          <w:sz w:val="20"/>
          <w:szCs w:val="20"/>
        </w:rPr>
      </w:pPr>
      <w:r w:rsidRPr="00CD11DE">
        <w:rPr>
          <w:sz w:val="20"/>
          <w:szCs w:val="20"/>
        </w:rPr>
        <w:t>The Bank is committed to diversity and ensuring that all of Al Rayan Bank’s colleagues are offered equal opportunities throughout their career. Further, the Bank ensures that employees are not discriminated against, directly or indirectly, on the basis of age, ethnic or national origin, religion or beliefs, sexual orientation, gender, marital status or disability. This commitment applies equally to members of the Board. The Board strongly supports the principle of boardroom diversity, of which gender is one important aspect. However, the Board does not have a measurable target for gender representation on the Board. All Board appointments are made on merit, in the context of the skills, experience, independence and knowledge which the Board as a whole requires to be effective.</w:t>
      </w:r>
    </w:p>
    <w:tbl>
      <w:tblPr>
        <w:tblW w:w="9032" w:type="dxa"/>
        <w:tblLayout w:type="fixed"/>
        <w:tblLook w:val="04A0" w:firstRow="1" w:lastRow="0" w:firstColumn="1" w:lastColumn="0" w:noHBand="0" w:noVBand="1"/>
      </w:tblPr>
      <w:tblGrid>
        <w:gridCol w:w="607"/>
        <w:gridCol w:w="1094"/>
        <w:gridCol w:w="327"/>
        <w:gridCol w:w="994"/>
        <w:gridCol w:w="1542"/>
        <w:gridCol w:w="1583"/>
        <w:gridCol w:w="1302"/>
        <w:gridCol w:w="1583"/>
      </w:tblGrid>
      <w:tr w:rsidR="006C313E" w:rsidRPr="00CD11DE" w14:paraId="18E6DE11" w14:textId="77777777" w:rsidTr="007E0530">
        <w:trPr>
          <w:trHeight w:val="288"/>
        </w:trPr>
        <w:tc>
          <w:tcPr>
            <w:tcW w:w="607" w:type="dxa"/>
            <w:tcBorders>
              <w:top w:val="nil"/>
              <w:left w:val="nil"/>
              <w:bottom w:val="nil"/>
              <w:right w:val="nil"/>
            </w:tcBorders>
            <w:shd w:val="clear" w:color="auto" w:fill="auto"/>
            <w:noWrap/>
            <w:vAlign w:val="bottom"/>
            <w:hideMark/>
          </w:tcPr>
          <w:p w14:paraId="7183748F" w14:textId="77777777" w:rsidR="002A6E8C" w:rsidRPr="00CD11DE" w:rsidRDefault="002A6E8C" w:rsidP="00C1159A">
            <w:pPr>
              <w:keepLines w:val="0"/>
              <w:spacing w:after="0" w:line="240" w:lineRule="auto"/>
              <w:jc w:val="left"/>
              <w:rPr>
                <w:rFonts w:eastAsia="Times New Roman"/>
                <w:color w:val="auto"/>
                <w:sz w:val="18"/>
                <w:szCs w:val="18"/>
                <w:lang w:eastAsia="en-GB"/>
              </w:rPr>
            </w:pPr>
          </w:p>
        </w:tc>
        <w:tc>
          <w:tcPr>
            <w:tcW w:w="1094" w:type="dxa"/>
            <w:tcBorders>
              <w:top w:val="nil"/>
              <w:left w:val="nil"/>
              <w:bottom w:val="nil"/>
              <w:right w:val="nil"/>
            </w:tcBorders>
            <w:shd w:val="clear" w:color="auto" w:fill="auto"/>
            <w:noWrap/>
            <w:vAlign w:val="bottom"/>
            <w:hideMark/>
          </w:tcPr>
          <w:p w14:paraId="5B1B8124" w14:textId="77777777" w:rsidR="002A6E8C" w:rsidRPr="00CD11DE" w:rsidRDefault="002A6E8C" w:rsidP="00C1159A">
            <w:pPr>
              <w:keepLines w:val="0"/>
              <w:spacing w:after="0" w:line="240" w:lineRule="auto"/>
              <w:jc w:val="left"/>
              <w:rPr>
                <w:rFonts w:eastAsia="Times New Roman"/>
                <w:color w:val="auto"/>
                <w:sz w:val="18"/>
                <w:szCs w:val="18"/>
                <w:lang w:eastAsia="en-GB"/>
              </w:rPr>
            </w:pPr>
          </w:p>
        </w:tc>
        <w:tc>
          <w:tcPr>
            <w:tcW w:w="327" w:type="dxa"/>
            <w:tcBorders>
              <w:top w:val="nil"/>
              <w:left w:val="nil"/>
              <w:bottom w:val="nil"/>
              <w:right w:val="nil"/>
            </w:tcBorders>
            <w:shd w:val="clear" w:color="auto" w:fill="auto"/>
            <w:noWrap/>
            <w:vAlign w:val="bottom"/>
            <w:hideMark/>
          </w:tcPr>
          <w:p w14:paraId="49363132" w14:textId="77777777" w:rsidR="002A6E8C" w:rsidRPr="00CD11DE" w:rsidRDefault="002A6E8C" w:rsidP="00C1159A">
            <w:pPr>
              <w:keepLines w:val="0"/>
              <w:spacing w:after="0" w:line="240" w:lineRule="auto"/>
              <w:jc w:val="left"/>
              <w:rPr>
                <w:rFonts w:eastAsia="Times New Roman"/>
                <w:color w:val="auto"/>
                <w:sz w:val="18"/>
                <w:szCs w:val="18"/>
                <w:lang w:eastAsia="en-GB"/>
              </w:rPr>
            </w:pPr>
          </w:p>
        </w:tc>
        <w:tc>
          <w:tcPr>
            <w:tcW w:w="994" w:type="dxa"/>
            <w:tcBorders>
              <w:top w:val="nil"/>
              <w:left w:val="nil"/>
              <w:bottom w:val="nil"/>
              <w:right w:val="nil"/>
            </w:tcBorders>
            <w:shd w:val="clear" w:color="auto" w:fill="auto"/>
            <w:noWrap/>
            <w:vAlign w:val="bottom"/>
            <w:hideMark/>
          </w:tcPr>
          <w:p w14:paraId="3F0A3351" w14:textId="77777777" w:rsidR="002A6E8C" w:rsidRPr="00CD11DE" w:rsidRDefault="002A6E8C" w:rsidP="00C1159A">
            <w:pPr>
              <w:keepLines w:val="0"/>
              <w:spacing w:after="0" w:line="240" w:lineRule="auto"/>
              <w:jc w:val="left"/>
              <w:rPr>
                <w:rFonts w:eastAsia="Times New Roman"/>
                <w:color w:val="auto"/>
                <w:sz w:val="18"/>
                <w:szCs w:val="18"/>
                <w:lang w:eastAsia="en-GB"/>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F7056"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a</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396558C7"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b</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00B935A"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c</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57209AFE"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d</w:t>
            </w:r>
          </w:p>
        </w:tc>
      </w:tr>
      <w:tr w:rsidR="006C313E" w:rsidRPr="00CD11DE" w14:paraId="7D463269" w14:textId="77777777" w:rsidTr="007E0530">
        <w:trPr>
          <w:trHeight w:val="1056"/>
        </w:trPr>
        <w:tc>
          <w:tcPr>
            <w:tcW w:w="607" w:type="dxa"/>
            <w:tcBorders>
              <w:top w:val="nil"/>
              <w:left w:val="nil"/>
              <w:bottom w:val="nil"/>
              <w:right w:val="nil"/>
            </w:tcBorders>
            <w:shd w:val="clear" w:color="auto" w:fill="auto"/>
            <w:noWrap/>
            <w:vAlign w:val="bottom"/>
            <w:hideMark/>
          </w:tcPr>
          <w:p w14:paraId="6BE1E07B" w14:textId="77777777" w:rsidR="002A6E8C" w:rsidRPr="00CD11DE" w:rsidRDefault="002A6E8C" w:rsidP="00C1159A">
            <w:pPr>
              <w:keepLines w:val="0"/>
              <w:spacing w:after="0" w:line="240" w:lineRule="auto"/>
              <w:jc w:val="center"/>
              <w:rPr>
                <w:rFonts w:eastAsia="Times New Roman"/>
                <w:color w:val="auto"/>
                <w:sz w:val="18"/>
                <w:szCs w:val="18"/>
                <w:lang w:eastAsia="en-GB"/>
              </w:rPr>
            </w:pP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DB243" w14:textId="18C0AC2C" w:rsidR="002A6E8C" w:rsidRPr="00CD11DE" w:rsidRDefault="002A6E8C" w:rsidP="00B35480">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£m (where applicable)</w:t>
            </w:r>
          </w:p>
        </w:tc>
        <w:tc>
          <w:tcPr>
            <w:tcW w:w="1542" w:type="dxa"/>
            <w:tcBorders>
              <w:top w:val="nil"/>
              <w:left w:val="nil"/>
              <w:bottom w:val="single" w:sz="4" w:space="0" w:color="auto"/>
              <w:right w:val="single" w:sz="4" w:space="0" w:color="auto"/>
            </w:tcBorders>
            <w:shd w:val="clear" w:color="auto" w:fill="auto"/>
            <w:vAlign w:val="center"/>
            <w:hideMark/>
          </w:tcPr>
          <w:p w14:paraId="325C9D9E" w14:textId="1B0A42EF"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MB</w:t>
            </w:r>
            <w:r w:rsidR="00DE62B3" w:rsidRPr="00CD11DE">
              <w:rPr>
                <w:rStyle w:val="FootnoteReference"/>
                <w:rFonts w:eastAsia="Times New Roman"/>
                <w:color w:val="auto"/>
                <w:sz w:val="18"/>
                <w:szCs w:val="18"/>
                <w:lang w:eastAsia="en-GB"/>
              </w:rPr>
              <w:footnoteReference w:id="8"/>
            </w:r>
            <w:r w:rsidRPr="00CD11DE">
              <w:rPr>
                <w:rFonts w:eastAsia="Times New Roman"/>
                <w:color w:val="auto"/>
                <w:sz w:val="18"/>
                <w:szCs w:val="18"/>
                <w:lang w:eastAsia="en-GB"/>
              </w:rPr>
              <w:t xml:space="preserve"> Supervisory function</w:t>
            </w:r>
          </w:p>
        </w:tc>
        <w:tc>
          <w:tcPr>
            <w:tcW w:w="1583" w:type="dxa"/>
            <w:tcBorders>
              <w:top w:val="nil"/>
              <w:left w:val="nil"/>
              <w:bottom w:val="single" w:sz="4" w:space="0" w:color="auto"/>
              <w:right w:val="single" w:sz="4" w:space="0" w:color="auto"/>
            </w:tcBorders>
            <w:shd w:val="clear" w:color="auto" w:fill="auto"/>
            <w:vAlign w:val="center"/>
            <w:hideMark/>
          </w:tcPr>
          <w:p w14:paraId="261771BE"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 xml:space="preserve">MB Management function </w:t>
            </w:r>
          </w:p>
        </w:tc>
        <w:tc>
          <w:tcPr>
            <w:tcW w:w="1302" w:type="dxa"/>
            <w:tcBorders>
              <w:top w:val="nil"/>
              <w:left w:val="nil"/>
              <w:bottom w:val="single" w:sz="4" w:space="0" w:color="auto"/>
              <w:right w:val="single" w:sz="4" w:space="0" w:color="auto"/>
            </w:tcBorders>
            <w:shd w:val="clear" w:color="auto" w:fill="auto"/>
            <w:vAlign w:val="center"/>
            <w:hideMark/>
          </w:tcPr>
          <w:p w14:paraId="6C735A77"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Other senior management</w:t>
            </w:r>
          </w:p>
        </w:tc>
        <w:tc>
          <w:tcPr>
            <w:tcW w:w="1583" w:type="dxa"/>
            <w:tcBorders>
              <w:top w:val="nil"/>
              <w:left w:val="nil"/>
              <w:bottom w:val="single" w:sz="4" w:space="0" w:color="auto"/>
              <w:right w:val="single" w:sz="4" w:space="0" w:color="auto"/>
            </w:tcBorders>
            <w:shd w:val="clear" w:color="auto" w:fill="auto"/>
            <w:vAlign w:val="center"/>
            <w:hideMark/>
          </w:tcPr>
          <w:p w14:paraId="20627C45" w14:textId="77777777" w:rsidR="002A6E8C" w:rsidRPr="00CD11DE" w:rsidRDefault="002A6E8C" w:rsidP="00B3548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Other identified staff</w:t>
            </w:r>
          </w:p>
        </w:tc>
      </w:tr>
      <w:tr w:rsidR="0072436A" w:rsidRPr="00CD11DE" w14:paraId="65EAF725" w14:textId="77777777" w:rsidTr="0072436A">
        <w:trPr>
          <w:trHeight w:val="528"/>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F410"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1</w:t>
            </w:r>
          </w:p>
        </w:tc>
        <w:tc>
          <w:tcPr>
            <w:tcW w:w="109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87BE7D"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Fixed remuneration</w:t>
            </w:r>
          </w:p>
        </w:tc>
        <w:tc>
          <w:tcPr>
            <w:tcW w:w="1321" w:type="dxa"/>
            <w:gridSpan w:val="2"/>
            <w:tcBorders>
              <w:top w:val="nil"/>
              <w:left w:val="nil"/>
              <w:bottom w:val="single" w:sz="4" w:space="0" w:color="auto"/>
              <w:right w:val="single" w:sz="4" w:space="0" w:color="auto"/>
            </w:tcBorders>
            <w:shd w:val="clear" w:color="auto" w:fill="auto"/>
            <w:vAlign w:val="center"/>
            <w:hideMark/>
          </w:tcPr>
          <w:p w14:paraId="6DA38F7C"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Number of identified staff</w:t>
            </w:r>
          </w:p>
        </w:tc>
        <w:tc>
          <w:tcPr>
            <w:tcW w:w="1542" w:type="dxa"/>
            <w:tcBorders>
              <w:top w:val="nil"/>
              <w:left w:val="nil"/>
              <w:bottom w:val="single" w:sz="4" w:space="0" w:color="auto"/>
              <w:right w:val="single" w:sz="4" w:space="0" w:color="auto"/>
            </w:tcBorders>
            <w:shd w:val="clear" w:color="auto" w:fill="auto"/>
            <w:noWrap/>
            <w:hideMark/>
          </w:tcPr>
          <w:p w14:paraId="36C46C3A" w14:textId="6E72AA84"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7</w:t>
            </w:r>
          </w:p>
        </w:tc>
        <w:tc>
          <w:tcPr>
            <w:tcW w:w="1583" w:type="dxa"/>
            <w:tcBorders>
              <w:top w:val="nil"/>
              <w:left w:val="nil"/>
              <w:bottom w:val="single" w:sz="4" w:space="0" w:color="auto"/>
              <w:right w:val="single" w:sz="4" w:space="0" w:color="auto"/>
            </w:tcBorders>
            <w:shd w:val="clear" w:color="auto" w:fill="auto"/>
            <w:noWrap/>
            <w:hideMark/>
          </w:tcPr>
          <w:p w14:paraId="2878C15E" w14:textId="40048DE7"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6</w:t>
            </w:r>
          </w:p>
        </w:tc>
        <w:tc>
          <w:tcPr>
            <w:tcW w:w="1302" w:type="dxa"/>
            <w:tcBorders>
              <w:top w:val="nil"/>
              <w:left w:val="nil"/>
              <w:bottom w:val="single" w:sz="4" w:space="0" w:color="auto"/>
              <w:right w:val="single" w:sz="4" w:space="0" w:color="auto"/>
            </w:tcBorders>
            <w:shd w:val="clear" w:color="auto" w:fill="auto"/>
            <w:noWrap/>
            <w:hideMark/>
          </w:tcPr>
          <w:p w14:paraId="3B9EF3E3" w14:textId="15EF1F67" w:rsidR="002F3E5B" w:rsidRPr="007E0530" w:rsidRDefault="0081537B" w:rsidP="002F3E5B">
            <w:pPr>
              <w:keepLines w:val="0"/>
              <w:spacing w:after="0" w:line="240" w:lineRule="auto"/>
              <w:jc w:val="right"/>
              <w:rPr>
                <w:rFonts w:eastAsia="Times New Roman"/>
                <w:color w:val="auto"/>
                <w:sz w:val="18"/>
                <w:szCs w:val="18"/>
                <w:highlight w:val="yellow"/>
                <w:lang w:eastAsia="en-GB"/>
              </w:rPr>
            </w:pPr>
            <w:r>
              <w:rPr>
                <w:sz w:val="18"/>
                <w:szCs w:val="18"/>
              </w:rPr>
              <w:t>-</w:t>
            </w:r>
          </w:p>
        </w:tc>
        <w:tc>
          <w:tcPr>
            <w:tcW w:w="1583" w:type="dxa"/>
            <w:tcBorders>
              <w:top w:val="nil"/>
              <w:left w:val="nil"/>
              <w:bottom w:val="single" w:sz="4" w:space="0" w:color="auto"/>
              <w:right w:val="single" w:sz="4" w:space="0" w:color="auto"/>
            </w:tcBorders>
            <w:shd w:val="clear" w:color="auto" w:fill="auto"/>
            <w:noWrap/>
            <w:hideMark/>
          </w:tcPr>
          <w:p w14:paraId="5BFF22E8" w14:textId="59001CAF"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14</w:t>
            </w:r>
          </w:p>
        </w:tc>
      </w:tr>
      <w:tr w:rsidR="0072436A" w:rsidRPr="00CD11DE" w14:paraId="021C92D6" w14:textId="77777777" w:rsidTr="0072436A">
        <w:trPr>
          <w:trHeight w:val="5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218309E"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2</w:t>
            </w:r>
          </w:p>
        </w:tc>
        <w:tc>
          <w:tcPr>
            <w:tcW w:w="1094" w:type="dxa"/>
            <w:vMerge/>
            <w:tcBorders>
              <w:top w:val="nil"/>
              <w:left w:val="single" w:sz="4" w:space="0" w:color="auto"/>
              <w:bottom w:val="single" w:sz="4" w:space="0" w:color="auto"/>
              <w:right w:val="single" w:sz="4" w:space="0" w:color="auto"/>
            </w:tcBorders>
            <w:shd w:val="clear" w:color="auto" w:fill="auto"/>
            <w:vAlign w:val="center"/>
            <w:hideMark/>
          </w:tcPr>
          <w:p w14:paraId="750DDFA2" w14:textId="77777777" w:rsidR="002F3E5B" w:rsidRPr="00CD11DE" w:rsidRDefault="002F3E5B" w:rsidP="002F3E5B">
            <w:pPr>
              <w:keepLines w:val="0"/>
              <w:spacing w:after="0" w:line="240" w:lineRule="auto"/>
              <w:jc w:val="left"/>
              <w:rPr>
                <w:rFonts w:eastAsia="Times New Roman"/>
                <w:color w:val="auto"/>
                <w:sz w:val="18"/>
                <w:szCs w:val="18"/>
                <w:lang w:eastAsia="en-GB"/>
              </w:rPr>
            </w:pPr>
          </w:p>
        </w:tc>
        <w:tc>
          <w:tcPr>
            <w:tcW w:w="1321" w:type="dxa"/>
            <w:gridSpan w:val="2"/>
            <w:tcBorders>
              <w:top w:val="nil"/>
              <w:left w:val="nil"/>
              <w:bottom w:val="single" w:sz="4" w:space="0" w:color="auto"/>
              <w:right w:val="single" w:sz="4" w:space="0" w:color="auto"/>
            </w:tcBorders>
            <w:shd w:val="clear" w:color="auto" w:fill="auto"/>
            <w:vAlign w:val="center"/>
            <w:hideMark/>
          </w:tcPr>
          <w:p w14:paraId="30493993"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Total fixed remuneration</w:t>
            </w:r>
          </w:p>
        </w:tc>
        <w:tc>
          <w:tcPr>
            <w:tcW w:w="1542" w:type="dxa"/>
            <w:tcBorders>
              <w:top w:val="nil"/>
              <w:left w:val="nil"/>
              <w:bottom w:val="single" w:sz="4" w:space="0" w:color="auto"/>
              <w:right w:val="single" w:sz="4" w:space="0" w:color="auto"/>
            </w:tcBorders>
            <w:shd w:val="clear" w:color="auto" w:fill="auto"/>
            <w:noWrap/>
            <w:hideMark/>
          </w:tcPr>
          <w:p w14:paraId="04328037" w14:textId="1F559202"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r w:rsidR="0072436A">
              <w:rPr>
                <w:sz w:val="18"/>
                <w:szCs w:val="18"/>
              </w:rPr>
              <w:t>0.4</w:t>
            </w:r>
          </w:p>
        </w:tc>
        <w:tc>
          <w:tcPr>
            <w:tcW w:w="1583" w:type="dxa"/>
            <w:tcBorders>
              <w:top w:val="nil"/>
              <w:left w:val="nil"/>
              <w:bottom w:val="single" w:sz="4" w:space="0" w:color="auto"/>
              <w:right w:val="single" w:sz="4" w:space="0" w:color="auto"/>
            </w:tcBorders>
            <w:shd w:val="clear" w:color="auto" w:fill="auto"/>
            <w:noWrap/>
            <w:hideMark/>
          </w:tcPr>
          <w:p w14:paraId="206D8038" w14:textId="15C69086"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£1</w:t>
            </w:r>
            <w:r w:rsidR="0072436A">
              <w:rPr>
                <w:sz w:val="18"/>
                <w:szCs w:val="18"/>
              </w:rPr>
              <w:t>.8</w:t>
            </w:r>
          </w:p>
        </w:tc>
        <w:tc>
          <w:tcPr>
            <w:tcW w:w="1302" w:type="dxa"/>
            <w:tcBorders>
              <w:top w:val="nil"/>
              <w:left w:val="nil"/>
              <w:bottom w:val="single" w:sz="4" w:space="0" w:color="auto"/>
              <w:right w:val="single" w:sz="4" w:space="0" w:color="auto"/>
            </w:tcBorders>
            <w:shd w:val="clear" w:color="auto" w:fill="auto"/>
            <w:noWrap/>
            <w:hideMark/>
          </w:tcPr>
          <w:p w14:paraId="23DCADB3" w14:textId="26007215"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nil"/>
              <w:left w:val="nil"/>
              <w:bottom w:val="single" w:sz="4" w:space="0" w:color="auto"/>
              <w:right w:val="single" w:sz="4" w:space="0" w:color="auto"/>
            </w:tcBorders>
            <w:shd w:val="clear" w:color="auto" w:fill="auto"/>
            <w:noWrap/>
            <w:hideMark/>
          </w:tcPr>
          <w:p w14:paraId="64007F32" w14:textId="3EA20E84"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£1</w:t>
            </w:r>
            <w:r w:rsidR="0072436A">
              <w:rPr>
                <w:sz w:val="18"/>
                <w:szCs w:val="18"/>
              </w:rPr>
              <w:t>.7</w:t>
            </w:r>
          </w:p>
        </w:tc>
      </w:tr>
      <w:tr w:rsidR="0072436A" w:rsidRPr="00CD11DE" w14:paraId="421DA80A" w14:textId="77777777" w:rsidTr="0072436A">
        <w:trPr>
          <w:trHeight w:val="5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D39BDE9"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3</w:t>
            </w:r>
          </w:p>
        </w:tc>
        <w:tc>
          <w:tcPr>
            <w:tcW w:w="1094" w:type="dxa"/>
            <w:vMerge/>
            <w:tcBorders>
              <w:top w:val="nil"/>
              <w:left w:val="single" w:sz="4" w:space="0" w:color="auto"/>
              <w:bottom w:val="single" w:sz="4" w:space="0" w:color="auto"/>
              <w:right w:val="single" w:sz="4" w:space="0" w:color="auto"/>
            </w:tcBorders>
            <w:shd w:val="clear" w:color="auto" w:fill="auto"/>
            <w:vAlign w:val="center"/>
            <w:hideMark/>
          </w:tcPr>
          <w:p w14:paraId="4B3766E4" w14:textId="77777777" w:rsidR="002F3E5B" w:rsidRPr="00CD11DE" w:rsidRDefault="002F3E5B" w:rsidP="002F3E5B">
            <w:pPr>
              <w:keepLines w:val="0"/>
              <w:spacing w:after="0" w:line="240" w:lineRule="auto"/>
              <w:jc w:val="left"/>
              <w:rPr>
                <w:rFonts w:eastAsia="Times New Roman"/>
                <w:color w:val="auto"/>
                <w:sz w:val="18"/>
                <w:szCs w:val="18"/>
                <w:lang w:eastAsia="en-GB"/>
              </w:rPr>
            </w:pPr>
          </w:p>
        </w:tc>
        <w:tc>
          <w:tcPr>
            <w:tcW w:w="1321" w:type="dxa"/>
            <w:gridSpan w:val="2"/>
            <w:tcBorders>
              <w:top w:val="nil"/>
              <w:left w:val="nil"/>
              <w:bottom w:val="single" w:sz="4" w:space="0" w:color="auto"/>
              <w:right w:val="single" w:sz="4" w:space="0" w:color="auto"/>
            </w:tcBorders>
            <w:shd w:val="clear" w:color="auto" w:fill="auto"/>
            <w:vAlign w:val="center"/>
            <w:hideMark/>
          </w:tcPr>
          <w:p w14:paraId="2773221B"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Of which: cash-based</w:t>
            </w:r>
          </w:p>
        </w:tc>
        <w:tc>
          <w:tcPr>
            <w:tcW w:w="1542" w:type="dxa"/>
            <w:tcBorders>
              <w:top w:val="nil"/>
              <w:left w:val="nil"/>
              <w:bottom w:val="single" w:sz="4" w:space="0" w:color="auto"/>
              <w:right w:val="single" w:sz="4" w:space="0" w:color="auto"/>
            </w:tcBorders>
            <w:shd w:val="clear" w:color="auto" w:fill="auto"/>
            <w:noWrap/>
            <w:hideMark/>
          </w:tcPr>
          <w:p w14:paraId="06F02128" w14:textId="0E375E2F"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r w:rsidR="0072436A">
              <w:rPr>
                <w:sz w:val="18"/>
                <w:szCs w:val="18"/>
              </w:rPr>
              <w:t>0.4</w:t>
            </w:r>
          </w:p>
        </w:tc>
        <w:tc>
          <w:tcPr>
            <w:tcW w:w="1583" w:type="dxa"/>
            <w:tcBorders>
              <w:top w:val="nil"/>
              <w:left w:val="nil"/>
              <w:bottom w:val="single" w:sz="4" w:space="0" w:color="auto"/>
              <w:right w:val="single" w:sz="4" w:space="0" w:color="auto"/>
            </w:tcBorders>
            <w:shd w:val="clear" w:color="auto" w:fill="auto"/>
            <w:noWrap/>
            <w:hideMark/>
          </w:tcPr>
          <w:p w14:paraId="4534A99D" w14:textId="0D6BEF5C"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£1</w:t>
            </w:r>
            <w:r w:rsidR="0072436A">
              <w:rPr>
                <w:sz w:val="18"/>
                <w:szCs w:val="18"/>
              </w:rPr>
              <w:t>.8</w:t>
            </w:r>
          </w:p>
        </w:tc>
        <w:tc>
          <w:tcPr>
            <w:tcW w:w="1302" w:type="dxa"/>
            <w:tcBorders>
              <w:top w:val="nil"/>
              <w:left w:val="nil"/>
              <w:bottom w:val="single" w:sz="4" w:space="0" w:color="auto"/>
              <w:right w:val="single" w:sz="4" w:space="0" w:color="auto"/>
            </w:tcBorders>
            <w:shd w:val="clear" w:color="auto" w:fill="auto"/>
            <w:noWrap/>
            <w:hideMark/>
          </w:tcPr>
          <w:p w14:paraId="105BBAB7" w14:textId="06D14994"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nil"/>
              <w:left w:val="nil"/>
              <w:bottom w:val="single" w:sz="4" w:space="0" w:color="auto"/>
              <w:right w:val="single" w:sz="4" w:space="0" w:color="auto"/>
            </w:tcBorders>
            <w:shd w:val="clear" w:color="auto" w:fill="auto"/>
            <w:noWrap/>
            <w:hideMark/>
          </w:tcPr>
          <w:p w14:paraId="2A16A751" w14:textId="69E0BDF8"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£1</w:t>
            </w:r>
            <w:r w:rsidR="0072436A">
              <w:rPr>
                <w:sz w:val="18"/>
                <w:szCs w:val="18"/>
              </w:rPr>
              <w:t>.7</w:t>
            </w:r>
          </w:p>
        </w:tc>
      </w:tr>
      <w:tr w:rsidR="0072436A" w:rsidRPr="00CD11DE" w14:paraId="7B00DB52" w14:textId="77777777" w:rsidTr="007E0530">
        <w:trPr>
          <w:trHeight w:val="5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BCA1FE2"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9</w:t>
            </w:r>
          </w:p>
        </w:tc>
        <w:tc>
          <w:tcPr>
            <w:tcW w:w="1094" w:type="dxa"/>
            <w:vMerge w:val="restart"/>
            <w:tcBorders>
              <w:top w:val="single" w:sz="4" w:space="0" w:color="auto"/>
              <w:left w:val="single" w:sz="4" w:space="0" w:color="auto"/>
              <w:right w:val="single" w:sz="4" w:space="0" w:color="000000"/>
            </w:tcBorders>
            <w:shd w:val="clear" w:color="auto" w:fill="auto"/>
            <w:vAlign w:val="center"/>
            <w:hideMark/>
          </w:tcPr>
          <w:p w14:paraId="5435FBB0"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Variable remuneration</w:t>
            </w:r>
          </w:p>
        </w:tc>
        <w:tc>
          <w:tcPr>
            <w:tcW w:w="1321" w:type="dxa"/>
            <w:gridSpan w:val="2"/>
            <w:tcBorders>
              <w:top w:val="nil"/>
              <w:left w:val="nil"/>
              <w:bottom w:val="single" w:sz="4" w:space="0" w:color="auto"/>
              <w:right w:val="single" w:sz="4" w:space="0" w:color="auto"/>
            </w:tcBorders>
            <w:shd w:val="clear" w:color="auto" w:fill="auto"/>
            <w:vAlign w:val="center"/>
            <w:hideMark/>
          </w:tcPr>
          <w:p w14:paraId="36057FEE"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Number of identified staff</w:t>
            </w:r>
          </w:p>
        </w:tc>
        <w:tc>
          <w:tcPr>
            <w:tcW w:w="1542" w:type="dxa"/>
            <w:tcBorders>
              <w:top w:val="nil"/>
              <w:left w:val="nil"/>
              <w:bottom w:val="single" w:sz="4" w:space="0" w:color="auto"/>
              <w:right w:val="single" w:sz="4" w:space="0" w:color="auto"/>
            </w:tcBorders>
            <w:shd w:val="clear" w:color="auto" w:fill="auto"/>
            <w:noWrap/>
            <w:hideMark/>
          </w:tcPr>
          <w:p w14:paraId="0C09A402" w14:textId="6DE4B420"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7</w:t>
            </w:r>
          </w:p>
        </w:tc>
        <w:tc>
          <w:tcPr>
            <w:tcW w:w="1583" w:type="dxa"/>
            <w:tcBorders>
              <w:top w:val="single" w:sz="4" w:space="0" w:color="auto"/>
              <w:left w:val="nil"/>
              <w:bottom w:val="single" w:sz="4" w:space="0" w:color="auto"/>
              <w:right w:val="single" w:sz="4" w:space="0" w:color="auto"/>
            </w:tcBorders>
            <w:shd w:val="clear" w:color="auto" w:fill="auto"/>
            <w:noWrap/>
            <w:hideMark/>
          </w:tcPr>
          <w:p w14:paraId="68E58C55" w14:textId="79DF1214"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6</w:t>
            </w:r>
          </w:p>
        </w:tc>
        <w:tc>
          <w:tcPr>
            <w:tcW w:w="1302" w:type="dxa"/>
            <w:tcBorders>
              <w:top w:val="nil"/>
              <w:left w:val="nil"/>
              <w:bottom w:val="single" w:sz="4" w:space="0" w:color="auto"/>
              <w:right w:val="single" w:sz="4" w:space="0" w:color="auto"/>
            </w:tcBorders>
            <w:shd w:val="clear" w:color="auto" w:fill="auto"/>
            <w:noWrap/>
            <w:hideMark/>
          </w:tcPr>
          <w:p w14:paraId="49458E24" w14:textId="7DC57D2D"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nil"/>
              <w:left w:val="nil"/>
              <w:bottom w:val="single" w:sz="4" w:space="0" w:color="auto"/>
              <w:right w:val="single" w:sz="4" w:space="0" w:color="auto"/>
            </w:tcBorders>
            <w:shd w:val="clear" w:color="auto" w:fill="auto"/>
            <w:noWrap/>
            <w:hideMark/>
          </w:tcPr>
          <w:p w14:paraId="0C6ADF30" w14:textId="1C60278D"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14</w:t>
            </w:r>
          </w:p>
        </w:tc>
      </w:tr>
      <w:tr w:rsidR="0072436A" w:rsidRPr="00CD11DE" w14:paraId="453D03C5" w14:textId="77777777" w:rsidTr="007E0530">
        <w:trPr>
          <w:trHeight w:val="5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AEAE367"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10</w:t>
            </w:r>
          </w:p>
        </w:tc>
        <w:tc>
          <w:tcPr>
            <w:tcW w:w="1094" w:type="dxa"/>
            <w:vMerge/>
            <w:tcBorders>
              <w:left w:val="single" w:sz="4" w:space="0" w:color="auto"/>
              <w:right w:val="single" w:sz="4" w:space="0" w:color="000000"/>
            </w:tcBorders>
            <w:shd w:val="clear" w:color="auto" w:fill="auto"/>
            <w:vAlign w:val="center"/>
            <w:hideMark/>
          </w:tcPr>
          <w:p w14:paraId="5022E81E" w14:textId="77777777" w:rsidR="002F3E5B" w:rsidRPr="00CD11DE" w:rsidRDefault="002F3E5B" w:rsidP="002F3E5B">
            <w:pPr>
              <w:keepLines w:val="0"/>
              <w:spacing w:after="0" w:line="240" w:lineRule="auto"/>
              <w:jc w:val="left"/>
              <w:rPr>
                <w:rFonts w:eastAsia="Times New Roman"/>
                <w:color w:val="auto"/>
                <w:sz w:val="18"/>
                <w:szCs w:val="18"/>
                <w:lang w:eastAsia="en-GB"/>
              </w:rPr>
            </w:pPr>
          </w:p>
        </w:tc>
        <w:tc>
          <w:tcPr>
            <w:tcW w:w="1321" w:type="dxa"/>
            <w:gridSpan w:val="2"/>
            <w:tcBorders>
              <w:top w:val="nil"/>
              <w:left w:val="single" w:sz="4" w:space="0" w:color="000000"/>
              <w:bottom w:val="single" w:sz="4" w:space="0" w:color="auto"/>
              <w:right w:val="single" w:sz="4" w:space="0" w:color="auto"/>
            </w:tcBorders>
            <w:shd w:val="clear" w:color="auto" w:fill="auto"/>
            <w:vAlign w:val="center"/>
            <w:hideMark/>
          </w:tcPr>
          <w:p w14:paraId="662FB0EC"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Total variable remuneration</w:t>
            </w:r>
          </w:p>
        </w:tc>
        <w:tc>
          <w:tcPr>
            <w:tcW w:w="1542" w:type="dxa"/>
            <w:tcBorders>
              <w:top w:val="nil"/>
              <w:left w:val="nil"/>
              <w:bottom w:val="single" w:sz="4" w:space="0" w:color="auto"/>
              <w:right w:val="single" w:sz="4" w:space="0" w:color="auto"/>
            </w:tcBorders>
            <w:shd w:val="clear" w:color="auto" w:fill="auto"/>
            <w:noWrap/>
            <w:hideMark/>
          </w:tcPr>
          <w:p w14:paraId="4EA32866" w14:textId="5AACDF24"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single" w:sz="4" w:space="0" w:color="auto"/>
              <w:left w:val="nil"/>
              <w:bottom w:val="single" w:sz="4" w:space="0" w:color="auto"/>
              <w:right w:val="nil"/>
            </w:tcBorders>
            <w:shd w:val="clear" w:color="auto" w:fill="auto"/>
            <w:noWrap/>
            <w:hideMark/>
          </w:tcPr>
          <w:p w14:paraId="6451A2A6" w14:textId="2671933F" w:rsidR="002F3E5B" w:rsidRPr="007E0530" w:rsidRDefault="002F3E5B" w:rsidP="002F3E5B">
            <w:pPr>
              <w:keepLines w:val="0"/>
              <w:spacing w:after="0" w:line="240" w:lineRule="auto"/>
              <w:jc w:val="right"/>
              <w:rPr>
                <w:rFonts w:eastAsia="Times New Roman"/>
                <w:sz w:val="18"/>
                <w:szCs w:val="18"/>
                <w:highlight w:val="yellow"/>
                <w:lang w:eastAsia="en-GB"/>
              </w:rPr>
            </w:pPr>
            <w:r w:rsidRPr="007E0530">
              <w:rPr>
                <w:sz w:val="18"/>
                <w:szCs w:val="18"/>
              </w:rPr>
              <w:t>£1</w:t>
            </w:r>
            <w:r w:rsidR="0072436A">
              <w:rPr>
                <w:sz w:val="18"/>
                <w:szCs w:val="18"/>
              </w:rPr>
              <w:t>.3</w:t>
            </w:r>
          </w:p>
        </w:tc>
        <w:tc>
          <w:tcPr>
            <w:tcW w:w="1302" w:type="dxa"/>
            <w:tcBorders>
              <w:top w:val="nil"/>
              <w:left w:val="single" w:sz="4" w:space="0" w:color="auto"/>
              <w:bottom w:val="single" w:sz="4" w:space="0" w:color="auto"/>
              <w:right w:val="single" w:sz="4" w:space="0" w:color="auto"/>
            </w:tcBorders>
            <w:shd w:val="clear" w:color="auto" w:fill="auto"/>
            <w:noWrap/>
            <w:hideMark/>
          </w:tcPr>
          <w:p w14:paraId="2AD9B317" w14:textId="0C6E842C"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nil"/>
              <w:left w:val="nil"/>
              <w:bottom w:val="single" w:sz="4" w:space="0" w:color="auto"/>
              <w:right w:val="single" w:sz="4" w:space="0" w:color="auto"/>
            </w:tcBorders>
            <w:shd w:val="clear" w:color="auto" w:fill="auto"/>
            <w:noWrap/>
            <w:hideMark/>
          </w:tcPr>
          <w:p w14:paraId="7CB84BB3" w14:textId="4200B7FF"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r w:rsidR="0072436A">
              <w:rPr>
                <w:sz w:val="18"/>
                <w:szCs w:val="18"/>
              </w:rPr>
              <w:t>0.3</w:t>
            </w:r>
          </w:p>
        </w:tc>
      </w:tr>
      <w:tr w:rsidR="0072436A" w:rsidRPr="00CD11DE" w14:paraId="346E1E65" w14:textId="77777777" w:rsidTr="007E0530">
        <w:trPr>
          <w:trHeight w:val="528"/>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6C37"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11</w:t>
            </w:r>
          </w:p>
        </w:tc>
        <w:tc>
          <w:tcPr>
            <w:tcW w:w="1094" w:type="dxa"/>
            <w:vMerge/>
            <w:tcBorders>
              <w:left w:val="single" w:sz="4" w:space="0" w:color="auto"/>
              <w:right w:val="single" w:sz="4" w:space="0" w:color="000000"/>
            </w:tcBorders>
            <w:shd w:val="clear" w:color="auto" w:fill="auto"/>
            <w:vAlign w:val="center"/>
            <w:hideMark/>
          </w:tcPr>
          <w:p w14:paraId="6732570A" w14:textId="77777777" w:rsidR="002F3E5B" w:rsidRPr="00CD11DE" w:rsidRDefault="002F3E5B" w:rsidP="002F3E5B">
            <w:pPr>
              <w:keepLines w:val="0"/>
              <w:spacing w:after="0" w:line="240" w:lineRule="auto"/>
              <w:jc w:val="left"/>
              <w:rPr>
                <w:rFonts w:eastAsia="Times New Roman"/>
                <w:color w:val="auto"/>
                <w:sz w:val="18"/>
                <w:szCs w:val="18"/>
                <w:lang w:eastAsia="en-GB"/>
              </w:rPr>
            </w:pPr>
          </w:p>
        </w:tc>
        <w:tc>
          <w:tcPr>
            <w:tcW w:w="1321" w:type="dxa"/>
            <w:gridSpan w:val="2"/>
            <w:tcBorders>
              <w:top w:val="single" w:sz="4" w:space="0" w:color="auto"/>
              <w:left w:val="single" w:sz="4" w:space="0" w:color="000000"/>
              <w:bottom w:val="single" w:sz="4" w:space="0" w:color="auto"/>
              <w:right w:val="single" w:sz="4" w:space="0" w:color="auto"/>
            </w:tcBorders>
            <w:shd w:val="clear" w:color="auto" w:fill="auto"/>
            <w:vAlign w:val="center"/>
            <w:hideMark/>
          </w:tcPr>
          <w:p w14:paraId="11420B67"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Of which: cash-based</w:t>
            </w:r>
          </w:p>
        </w:tc>
        <w:tc>
          <w:tcPr>
            <w:tcW w:w="1542" w:type="dxa"/>
            <w:tcBorders>
              <w:top w:val="single" w:sz="4" w:space="0" w:color="auto"/>
              <w:left w:val="nil"/>
              <w:bottom w:val="single" w:sz="4" w:space="0" w:color="auto"/>
              <w:right w:val="single" w:sz="4" w:space="0" w:color="auto"/>
            </w:tcBorders>
            <w:shd w:val="clear" w:color="auto" w:fill="auto"/>
            <w:noWrap/>
            <w:hideMark/>
          </w:tcPr>
          <w:p w14:paraId="2DBC300E" w14:textId="34F946B7"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single" w:sz="4" w:space="0" w:color="auto"/>
              <w:left w:val="nil"/>
              <w:bottom w:val="single" w:sz="4" w:space="0" w:color="auto"/>
              <w:right w:val="nil"/>
            </w:tcBorders>
            <w:shd w:val="clear" w:color="auto" w:fill="auto"/>
            <w:noWrap/>
            <w:hideMark/>
          </w:tcPr>
          <w:p w14:paraId="278C676C" w14:textId="6C4BFC6A" w:rsidR="002F3E5B" w:rsidRPr="007E0530" w:rsidRDefault="002F3E5B" w:rsidP="002F3E5B">
            <w:pPr>
              <w:keepLines w:val="0"/>
              <w:spacing w:after="0" w:line="240" w:lineRule="auto"/>
              <w:jc w:val="right"/>
              <w:rPr>
                <w:rFonts w:eastAsia="Times New Roman"/>
                <w:sz w:val="18"/>
                <w:szCs w:val="18"/>
                <w:highlight w:val="yellow"/>
                <w:lang w:eastAsia="en-GB"/>
              </w:rPr>
            </w:pPr>
            <w:r w:rsidRPr="007E0530">
              <w:rPr>
                <w:sz w:val="18"/>
                <w:szCs w:val="18"/>
              </w:rPr>
              <w:t>£1</w:t>
            </w:r>
            <w:r w:rsidR="0072436A">
              <w:rPr>
                <w:sz w:val="18"/>
                <w:szCs w:val="18"/>
              </w:rPr>
              <w:t>.3</w:t>
            </w:r>
          </w:p>
        </w:tc>
        <w:tc>
          <w:tcPr>
            <w:tcW w:w="1302" w:type="dxa"/>
            <w:tcBorders>
              <w:top w:val="single" w:sz="4" w:space="0" w:color="auto"/>
              <w:left w:val="single" w:sz="4" w:space="0" w:color="auto"/>
              <w:bottom w:val="single" w:sz="4" w:space="0" w:color="auto"/>
              <w:right w:val="single" w:sz="4" w:space="0" w:color="auto"/>
            </w:tcBorders>
            <w:shd w:val="clear" w:color="auto" w:fill="auto"/>
            <w:noWrap/>
            <w:hideMark/>
          </w:tcPr>
          <w:p w14:paraId="50686802" w14:textId="46502A2B"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single" w:sz="4" w:space="0" w:color="auto"/>
              <w:left w:val="nil"/>
              <w:bottom w:val="single" w:sz="4" w:space="0" w:color="auto"/>
              <w:right w:val="single" w:sz="4" w:space="0" w:color="auto"/>
            </w:tcBorders>
            <w:shd w:val="clear" w:color="auto" w:fill="auto"/>
            <w:noWrap/>
            <w:hideMark/>
          </w:tcPr>
          <w:p w14:paraId="506B0365" w14:textId="53DF8238"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r w:rsidR="0072436A">
              <w:rPr>
                <w:sz w:val="18"/>
                <w:szCs w:val="18"/>
              </w:rPr>
              <w:t>0.3</w:t>
            </w:r>
          </w:p>
        </w:tc>
      </w:tr>
      <w:tr w:rsidR="0072436A" w:rsidRPr="00CD11DE" w14:paraId="029185C4" w14:textId="77777777" w:rsidTr="007E0530">
        <w:trPr>
          <w:trHeight w:val="528"/>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69913" w14:textId="2AF3EA98"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12</w:t>
            </w:r>
          </w:p>
        </w:tc>
        <w:tc>
          <w:tcPr>
            <w:tcW w:w="1094" w:type="dxa"/>
            <w:vMerge/>
            <w:tcBorders>
              <w:left w:val="single" w:sz="4" w:space="0" w:color="auto"/>
              <w:bottom w:val="single" w:sz="4" w:space="0" w:color="auto"/>
              <w:right w:val="single" w:sz="4" w:space="0" w:color="000000"/>
            </w:tcBorders>
            <w:shd w:val="clear" w:color="auto" w:fill="auto"/>
            <w:vAlign w:val="center"/>
          </w:tcPr>
          <w:p w14:paraId="46CB50CF" w14:textId="77777777" w:rsidR="002F3E5B" w:rsidRPr="00CD11DE" w:rsidRDefault="002F3E5B" w:rsidP="002F3E5B">
            <w:pPr>
              <w:keepLines w:val="0"/>
              <w:spacing w:after="0" w:line="240" w:lineRule="auto"/>
              <w:jc w:val="left"/>
              <w:rPr>
                <w:rFonts w:eastAsia="Times New Roman"/>
                <w:color w:val="auto"/>
                <w:sz w:val="18"/>
                <w:szCs w:val="18"/>
                <w:lang w:eastAsia="en-GB"/>
              </w:rPr>
            </w:pPr>
          </w:p>
        </w:tc>
        <w:tc>
          <w:tcPr>
            <w:tcW w:w="132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0E7E60D" w14:textId="50B5E86E"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Of which: deferred</w:t>
            </w:r>
          </w:p>
        </w:tc>
        <w:tc>
          <w:tcPr>
            <w:tcW w:w="1542" w:type="dxa"/>
            <w:tcBorders>
              <w:top w:val="single" w:sz="4" w:space="0" w:color="auto"/>
              <w:left w:val="nil"/>
              <w:bottom w:val="single" w:sz="4" w:space="0" w:color="auto"/>
              <w:right w:val="single" w:sz="4" w:space="0" w:color="auto"/>
            </w:tcBorders>
            <w:shd w:val="clear" w:color="auto" w:fill="auto"/>
            <w:noWrap/>
          </w:tcPr>
          <w:p w14:paraId="5B7133D3" w14:textId="5A1A9DC4"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single" w:sz="4" w:space="0" w:color="auto"/>
              <w:left w:val="nil"/>
              <w:bottom w:val="single" w:sz="4" w:space="0" w:color="auto"/>
              <w:right w:val="nil"/>
            </w:tcBorders>
            <w:shd w:val="clear" w:color="auto" w:fill="auto"/>
            <w:noWrap/>
          </w:tcPr>
          <w:p w14:paraId="20DDFAD9" w14:textId="7F695BDF" w:rsidR="002F3E5B" w:rsidRPr="007E0530" w:rsidRDefault="0081537B" w:rsidP="002F3E5B">
            <w:pPr>
              <w:keepLines w:val="0"/>
              <w:spacing w:after="0" w:line="240" w:lineRule="auto"/>
              <w:jc w:val="right"/>
              <w:rPr>
                <w:rFonts w:eastAsia="Times New Roman"/>
                <w:sz w:val="18"/>
                <w:szCs w:val="18"/>
                <w:highlight w:val="yellow"/>
                <w:lang w:eastAsia="en-GB"/>
              </w:rPr>
            </w:pPr>
            <w:r>
              <w:rPr>
                <w:sz w:val="18"/>
                <w:szCs w:val="18"/>
              </w:rPr>
              <w:t>-</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7EED29ED" w14:textId="4A234663"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c>
          <w:tcPr>
            <w:tcW w:w="1583" w:type="dxa"/>
            <w:tcBorders>
              <w:top w:val="single" w:sz="4" w:space="0" w:color="auto"/>
              <w:left w:val="nil"/>
              <w:bottom w:val="single" w:sz="4" w:space="0" w:color="auto"/>
              <w:right w:val="single" w:sz="4" w:space="0" w:color="auto"/>
            </w:tcBorders>
            <w:shd w:val="clear" w:color="auto" w:fill="auto"/>
            <w:noWrap/>
          </w:tcPr>
          <w:p w14:paraId="6B6E53CB" w14:textId="76EC045E" w:rsidR="002F3E5B" w:rsidRPr="007E0530" w:rsidRDefault="002F3E5B" w:rsidP="002F3E5B">
            <w:pPr>
              <w:keepLines w:val="0"/>
              <w:spacing w:after="0" w:line="240" w:lineRule="auto"/>
              <w:jc w:val="right"/>
              <w:rPr>
                <w:rFonts w:eastAsia="Times New Roman"/>
                <w:color w:val="auto"/>
                <w:sz w:val="18"/>
                <w:szCs w:val="18"/>
                <w:highlight w:val="yellow"/>
                <w:lang w:eastAsia="en-GB"/>
              </w:rPr>
            </w:pPr>
            <w:r w:rsidRPr="007E0530">
              <w:rPr>
                <w:sz w:val="18"/>
                <w:szCs w:val="18"/>
              </w:rPr>
              <w:t>-</w:t>
            </w:r>
          </w:p>
        </w:tc>
      </w:tr>
      <w:tr w:rsidR="0072436A" w:rsidRPr="00CD11DE" w14:paraId="0481D4A3" w14:textId="77777777" w:rsidTr="0072436A">
        <w:trPr>
          <w:trHeight w:val="288"/>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17B5" w14:textId="77777777" w:rsidR="002F3E5B" w:rsidRPr="00CD11DE" w:rsidRDefault="002F3E5B" w:rsidP="002F3E5B">
            <w:pPr>
              <w:keepLines w:val="0"/>
              <w:spacing w:after="0" w:line="240" w:lineRule="auto"/>
              <w:jc w:val="left"/>
              <w:rPr>
                <w:rFonts w:eastAsia="Times New Roman"/>
                <w:color w:val="auto"/>
                <w:sz w:val="18"/>
                <w:szCs w:val="18"/>
                <w:lang w:eastAsia="en-GB"/>
              </w:rPr>
            </w:pPr>
            <w:r w:rsidRPr="00CD11DE">
              <w:rPr>
                <w:rFonts w:eastAsia="Times New Roman"/>
                <w:color w:val="auto"/>
                <w:sz w:val="18"/>
                <w:szCs w:val="18"/>
                <w:lang w:eastAsia="en-GB"/>
              </w:rPr>
              <w:t>17</w:t>
            </w:r>
          </w:p>
        </w:tc>
        <w:tc>
          <w:tcPr>
            <w:tcW w:w="24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A84A41" w14:textId="77777777" w:rsidR="002F3E5B" w:rsidRPr="00CD11DE" w:rsidRDefault="002F3E5B" w:rsidP="007E0530">
            <w:pPr>
              <w:keepLines w:val="0"/>
              <w:spacing w:after="0" w:line="240" w:lineRule="auto"/>
              <w:jc w:val="right"/>
              <w:rPr>
                <w:rFonts w:eastAsia="Times New Roman"/>
                <w:color w:val="auto"/>
                <w:sz w:val="18"/>
                <w:szCs w:val="18"/>
                <w:lang w:eastAsia="en-GB"/>
              </w:rPr>
            </w:pPr>
            <w:r w:rsidRPr="00CD11DE">
              <w:rPr>
                <w:rFonts w:eastAsia="Times New Roman"/>
                <w:color w:val="auto"/>
                <w:sz w:val="18"/>
                <w:szCs w:val="18"/>
                <w:lang w:eastAsia="en-GB"/>
              </w:rPr>
              <w:t>Total remuneration (2 + 10)</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20356EBD" w14:textId="373EA5D3" w:rsidR="002F3E5B" w:rsidRPr="007E0530" w:rsidRDefault="002F3E5B" w:rsidP="0072436A">
            <w:pPr>
              <w:keepLines w:val="0"/>
              <w:spacing w:after="0" w:line="240" w:lineRule="auto"/>
              <w:jc w:val="right"/>
              <w:rPr>
                <w:rFonts w:eastAsia="Times New Roman"/>
                <w:color w:val="auto"/>
                <w:sz w:val="18"/>
                <w:szCs w:val="18"/>
                <w:highlight w:val="yellow"/>
                <w:lang w:eastAsia="en-GB"/>
              </w:rPr>
            </w:pPr>
            <w:r w:rsidRPr="002F3E5B">
              <w:rPr>
                <w:rFonts w:eastAsia="Times New Roman"/>
                <w:color w:val="auto"/>
                <w:sz w:val="18"/>
                <w:szCs w:val="18"/>
                <w:lang w:eastAsia="en-GB"/>
              </w:rPr>
              <w:t>£</w:t>
            </w:r>
            <w:r w:rsidR="0072436A">
              <w:rPr>
                <w:rFonts w:eastAsia="Times New Roman"/>
                <w:color w:val="auto"/>
                <w:sz w:val="18"/>
                <w:szCs w:val="18"/>
                <w:lang w:eastAsia="en-GB"/>
              </w:rPr>
              <w:t>0.4</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3CE61B4E" w14:textId="4EB8FCB6" w:rsidR="002F3E5B" w:rsidRPr="007E0530" w:rsidRDefault="0072436A" w:rsidP="0072436A">
            <w:pPr>
              <w:keepLines w:val="0"/>
              <w:spacing w:after="0" w:line="240" w:lineRule="auto"/>
              <w:jc w:val="right"/>
              <w:rPr>
                <w:rFonts w:eastAsia="Times New Roman"/>
                <w:color w:val="auto"/>
                <w:sz w:val="18"/>
                <w:szCs w:val="18"/>
                <w:highlight w:val="yellow"/>
                <w:lang w:eastAsia="en-GB"/>
              </w:rPr>
            </w:pPr>
            <w:r w:rsidRPr="0072436A">
              <w:rPr>
                <w:sz w:val="18"/>
                <w:szCs w:val="18"/>
              </w:rPr>
              <w:t>£</w:t>
            </w:r>
            <w:r>
              <w:rPr>
                <w:sz w:val="18"/>
                <w:szCs w:val="18"/>
              </w:rPr>
              <w:t>3.1</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62B26696" w14:textId="7A2555C2" w:rsidR="002F3E5B" w:rsidRPr="007E0530" w:rsidRDefault="0072436A" w:rsidP="0072436A">
            <w:pPr>
              <w:keepLines w:val="0"/>
              <w:spacing w:after="0" w:line="240" w:lineRule="auto"/>
              <w:jc w:val="right"/>
              <w:rPr>
                <w:rFonts w:eastAsia="Times New Roman"/>
                <w:color w:val="auto"/>
                <w:sz w:val="18"/>
                <w:szCs w:val="18"/>
                <w:highlight w:val="yellow"/>
                <w:lang w:eastAsia="en-GB"/>
              </w:rPr>
            </w:pPr>
            <w:r>
              <w:rPr>
                <w:sz w:val="18"/>
                <w:szCs w:val="18"/>
              </w:rPr>
              <w:t>-</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71166DDE" w14:textId="7ED343B5" w:rsidR="002F3E5B" w:rsidRPr="007E0530" w:rsidRDefault="0081537B" w:rsidP="0072436A">
            <w:pPr>
              <w:keepLines w:val="0"/>
              <w:spacing w:after="0" w:line="240" w:lineRule="auto"/>
              <w:jc w:val="right"/>
              <w:rPr>
                <w:rFonts w:eastAsia="Times New Roman"/>
                <w:color w:val="auto"/>
                <w:sz w:val="18"/>
                <w:szCs w:val="18"/>
                <w:highlight w:val="yellow"/>
                <w:lang w:eastAsia="en-GB"/>
              </w:rPr>
            </w:pPr>
            <w:r>
              <w:rPr>
                <w:sz w:val="18"/>
                <w:szCs w:val="18"/>
              </w:rPr>
              <w:t>£2.0</w:t>
            </w:r>
          </w:p>
        </w:tc>
      </w:tr>
    </w:tbl>
    <w:p w14:paraId="42D799A0" w14:textId="3ECE6642" w:rsidR="00257430" w:rsidRPr="00CD11DE" w:rsidRDefault="00257430" w:rsidP="00257430">
      <w:pPr>
        <w:rPr>
          <w:sz w:val="20"/>
          <w:szCs w:val="20"/>
        </w:rPr>
      </w:pPr>
      <w:bookmarkStart w:id="437" w:name="_Hlk108797948"/>
      <w:bookmarkEnd w:id="434"/>
    </w:p>
    <w:bookmarkEnd w:id="437"/>
    <w:p w14:paraId="233B678D" w14:textId="11946EF7" w:rsidR="002F3E5B" w:rsidRPr="002F3E5B" w:rsidRDefault="002F3E5B" w:rsidP="002F3E5B">
      <w:pPr>
        <w:rPr>
          <w:sz w:val="20"/>
          <w:szCs w:val="20"/>
        </w:rPr>
      </w:pPr>
      <w:r w:rsidRPr="002F3E5B">
        <w:rPr>
          <w:sz w:val="20"/>
          <w:szCs w:val="20"/>
        </w:rPr>
        <w:t xml:space="preserve">The Code requires that banks identify senior management, risk takers, staff engaged in control functions and any employee receiving total remuneration that takes them into the same remuneration bracket as senior management and risk takers, whose professional activities have a material impact on the firm’s risk profile and designate them as “Identified Staff”. </w:t>
      </w:r>
    </w:p>
    <w:p w14:paraId="15CBA798" w14:textId="77777777" w:rsidR="00315AA6" w:rsidRDefault="002F3E5B" w:rsidP="002F3E5B">
      <w:pPr>
        <w:rPr>
          <w:sz w:val="20"/>
          <w:szCs w:val="20"/>
        </w:rPr>
      </w:pPr>
      <w:r w:rsidRPr="002F3E5B">
        <w:rPr>
          <w:sz w:val="20"/>
          <w:szCs w:val="20"/>
        </w:rPr>
        <w:t>In total, 27 Identified Staff have been recognised as being employed during the year. Additional restrictions apply to the remuneration of Identified Staff. All Directors (Executive and Non-Executive) and Senior Managers have been identified as Identified staff. Our highest paid director had either variable or total remuneration in excess of £500,000.</w:t>
      </w:r>
    </w:p>
    <w:p w14:paraId="299344D9" w14:textId="77777777" w:rsidR="002F3E5B" w:rsidRPr="002F3E5B" w:rsidRDefault="002F3E5B" w:rsidP="002F3E5B">
      <w:pPr>
        <w:rPr>
          <w:sz w:val="20"/>
          <w:szCs w:val="20"/>
        </w:rPr>
      </w:pPr>
      <w:r w:rsidRPr="002F3E5B">
        <w:rPr>
          <w:sz w:val="20"/>
          <w:szCs w:val="20"/>
        </w:rPr>
        <w:lastRenderedPageBreak/>
        <w:t xml:space="preserve">The Bank has in place a discretionary bonus scheme and the payment of awards is linked to achievement of the Bank’s overall business objectives, as well as affordability based on the end of year financial results. Bonus awards under the schemes qualify as “variable remuneration” as defined in the Code. The Bank’s performance year runs from 1 January to 31 December. This bonus scheme is in place to reward staff for performance during the current performance year. The purpose of the scheme is to recognise and reward staff for their individual contribution towards the Bank achieving its business objectives.  </w:t>
      </w:r>
    </w:p>
    <w:p w14:paraId="11C4F6E0" w14:textId="77777777" w:rsidR="002F3E5B" w:rsidRPr="002F3E5B" w:rsidRDefault="002F3E5B" w:rsidP="002F3E5B">
      <w:pPr>
        <w:rPr>
          <w:sz w:val="20"/>
          <w:szCs w:val="20"/>
        </w:rPr>
      </w:pPr>
      <w:r w:rsidRPr="002F3E5B">
        <w:rPr>
          <w:sz w:val="20"/>
          <w:szCs w:val="20"/>
        </w:rPr>
        <w:t>A retention scheme was also put in place in 2022 for selected colleagues and is due to be paid in 2025 if certain criteria is met. The scheme was put in place as a retention tool for key colleagues.</w:t>
      </w:r>
    </w:p>
    <w:p w14:paraId="4C3FB223" w14:textId="77777777" w:rsidR="002F3E5B" w:rsidRPr="002F3E5B" w:rsidRDefault="002F3E5B" w:rsidP="002F3E5B">
      <w:pPr>
        <w:rPr>
          <w:sz w:val="20"/>
          <w:szCs w:val="20"/>
        </w:rPr>
      </w:pPr>
      <w:r w:rsidRPr="002F3E5B">
        <w:rPr>
          <w:sz w:val="20"/>
          <w:szCs w:val="20"/>
        </w:rPr>
        <w:t xml:space="preserve">At the beginning of each performance year, objectives are agreed for each individual based on the Bank’s corporate objectives and linked to their specific job role. Achievement of these objectives is reviewed periodically throughout the performance year as part of the Bank’s performance management process and at the end of the year an assessment is made of each individual’s overall performance against the agreed objectives. All individual ratings are calibrated as part of the annual performance management cycle. Whether any awards will be payable at the end of the performance year will depend on whether the Bank has met its overall business objectives, including mandatory risk management objectives and the end of year financial results. </w:t>
      </w:r>
    </w:p>
    <w:p w14:paraId="4A413B12" w14:textId="77777777" w:rsidR="002F3E5B" w:rsidRDefault="002F3E5B" w:rsidP="002F3E5B">
      <w:pPr>
        <w:rPr>
          <w:sz w:val="20"/>
          <w:szCs w:val="20"/>
        </w:rPr>
      </w:pPr>
      <w:r w:rsidRPr="002F3E5B">
        <w:rPr>
          <w:sz w:val="20"/>
          <w:szCs w:val="20"/>
        </w:rPr>
        <w:t>Guaranteed bonuses are not offered as part of Al Rayan Bank’s current performance award arrangements, except where agreed during a hiring process.</w:t>
      </w:r>
    </w:p>
    <w:p w14:paraId="3A3B3F4E" w14:textId="77777777" w:rsidR="003D0942" w:rsidRDefault="003D0942" w:rsidP="002F3E5B">
      <w:pPr>
        <w:rPr>
          <w:sz w:val="20"/>
          <w:szCs w:val="20"/>
        </w:rPr>
      </w:pPr>
    </w:p>
    <w:p w14:paraId="0F899D20" w14:textId="77777777" w:rsidR="003D0942" w:rsidRDefault="003D0942" w:rsidP="002F3E5B">
      <w:pPr>
        <w:rPr>
          <w:sz w:val="20"/>
          <w:szCs w:val="20"/>
        </w:rPr>
      </w:pPr>
    </w:p>
    <w:p w14:paraId="78D65821" w14:textId="77777777" w:rsidR="003D0942" w:rsidRDefault="003D0942" w:rsidP="002F3E5B">
      <w:pPr>
        <w:rPr>
          <w:sz w:val="20"/>
          <w:szCs w:val="20"/>
        </w:rPr>
      </w:pPr>
    </w:p>
    <w:p w14:paraId="62DC1F21" w14:textId="77777777" w:rsidR="003D0942" w:rsidRDefault="003D0942" w:rsidP="002F3E5B">
      <w:pPr>
        <w:rPr>
          <w:sz w:val="20"/>
          <w:szCs w:val="20"/>
        </w:rPr>
      </w:pPr>
    </w:p>
    <w:p w14:paraId="5C6A93E9" w14:textId="77777777" w:rsidR="003D0942" w:rsidRDefault="003D0942" w:rsidP="002F3E5B">
      <w:pPr>
        <w:rPr>
          <w:sz w:val="20"/>
          <w:szCs w:val="20"/>
        </w:rPr>
      </w:pPr>
    </w:p>
    <w:p w14:paraId="028BAEC2" w14:textId="77777777" w:rsidR="003D0942" w:rsidRDefault="003D0942" w:rsidP="002F3E5B">
      <w:pPr>
        <w:rPr>
          <w:sz w:val="20"/>
          <w:szCs w:val="20"/>
        </w:rPr>
      </w:pPr>
    </w:p>
    <w:p w14:paraId="1FABFB13" w14:textId="77777777" w:rsidR="003D0942" w:rsidRDefault="003D0942" w:rsidP="002F3E5B">
      <w:pPr>
        <w:rPr>
          <w:sz w:val="20"/>
          <w:szCs w:val="20"/>
        </w:rPr>
      </w:pPr>
    </w:p>
    <w:p w14:paraId="5A84228A" w14:textId="77777777" w:rsidR="003D0942" w:rsidRDefault="003D0942" w:rsidP="002F3E5B">
      <w:pPr>
        <w:rPr>
          <w:sz w:val="20"/>
          <w:szCs w:val="20"/>
        </w:rPr>
      </w:pPr>
    </w:p>
    <w:p w14:paraId="1A2DDCCE" w14:textId="77777777" w:rsidR="003D0942" w:rsidRPr="00D07D93" w:rsidRDefault="003D0942" w:rsidP="003D0942">
      <w:pPr>
        <w:jc w:val="center"/>
        <w:rPr>
          <w:sz w:val="18"/>
          <w:szCs w:val="18"/>
        </w:rPr>
      </w:pPr>
      <w:r w:rsidRPr="00D07D93">
        <w:rPr>
          <w:b/>
          <w:bCs/>
          <w:sz w:val="20"/>
          <w:szCs w:val="20"/>
        </w:rPr>
        <w:t>[Remainder of page intentionally left blank]</w:t>
      </w:r>
    </w:p>
    <w:p w14:paraId="71F05535" w14:textId="42A1BC7C" w:rsidR="003D0942" w:rsidRPr="00CD11DE" w:rsidRDefault="003D0942" w:rsidP="002F3E5B">
      <w:pPr>
        <w:rPr>
          <w:sz w:val="20"/>
          <w:szCs w:val="20"/>
        </w:rPr>
        <w:sectPr w:rsidR="003D0942" w:rsidRPr="00CD11DE" w:rsidSect="00315AA6">
          <w:headerReference w:type="even" r:id="rId18"/>
          <w:headerReference w:type="default" r:id="rId19"/>
          <w:footerReference w:type="even" r:id="rId20"/>
          <w:footerReference w:type="default" r:id="rId21"/>
          <w:headerReference w:type="first" r:id="rId22"/>
          <w:footerReference w:type="first" r:id="rId23"/>
          <w:pgSz w:w="11906" w:h="16838"/>
          <w:pgMar w:top="1985" w:right="1429" w:bottom="1525" w:left="1440" w:header="720" w:footer="720" w:gutter="0"/>
          <w:cols w:space="720"/>
          <w:titlePg/>
          <w:docGrid w:linePitch="299"/>
        </w:sectPr>
      </w:pPr>
    </w:p>
    <w:p w14:paraId="325C6890" w14:textId="57DD7045" w:rsidR="00DF235D" w:rsidRPr="00C62D72" w:rsidRDefault="00DF235D" w:rsidP="00285B0B">
      <w:pPr>
        <w:pStyle w:val="Heading1"/>
        <w:rPr>
          <w:rFonts w:ascii="Arial" w:hAnsi="Arial"/>
          <w:lang w:val="en-GB"/>
        </w:rPr>
      </w:pPr>
      <w:bookmarkStart w:id="438" w:name="_Toc201575429"/>
      <w:r w:rsidRPr="00C62D72">
        <w:rPr>
          <w:rFonts w:ascii="Arial" w:hAnsi="Arial"/>
          <w:lang w:val="en-GB"/>
        </w:rPr>
        <w:lastRenderedPageBreak/>
        <w:t>A</w:t>
      </w:r>
      <w:r w:rsidR="006955E3" w:rsidRPr="00C62D72">
        <w:rPr>
          <w:rFonts w:ascii="Arial" w:hAnsi="Arial"/>
          <w:lang w:val="en-GB"/>
        </w:rPr>
        <w:t>nnex</w:t>
      </w:r>
      <w:r w:rsidRPr="00C62D72">
        <w:rPr>
          <w:rFonts w:ascii="Arial" w:hAnsi="Arial"/>
          <w:lang w:val="en-GB"/>
        </w:rPr>
        <w:t xml:space="preserve"> I</w:t>
      </w:r>
      <w:bookmarkEnd w:id="438"/>
    </w:p>
    <w:p w14:paraId="0D603DF6" w14:textId="77777777" w:rsidR="00315AA6" w:rsidRPr="00CD11DE" w:rsidRDefault="00315AA6" w:rsidP="00B35480">
      <w:pPr>
        <w:spacing w:after="0" w:line="240" w:lineRule="auto"/>
        <w:rPr>
          <w:b/>
          <w:sz w:val="20"/>
          <w:szCs w:val="20"/>
        </w:rPr>
      </w:pPr>
      <w:r w:rsidRPr="00CD11DE">
        <w:rPr>
          <w:b/>
          <w:sz w:val="20"/>
          <w:szCs w:val="20"/>
        </w:rPr>
        <w:t>Key Metrics Template – KM1</w:t>
      </w:r>
    </w:p>
    <w:p w14:paraId="7030F001" w14:textId="77777777" w:rsidR="009E6C0E" w:rsidRDefault="009E6C0E" w:rsidP="00494DEB">
      <w:pPr>
        <w:spacing w:after="0" w:line="240" w:lineRule="auto"/>
        <w:ind w:left="432"/>
        <w:rPr>
          <w:b/>
          <w:sz w:val="20"/>
          <w:szCs w:val="20"/>
        </w:rPr>
      </w:pPr>
    </w:p>
    <w:p w14:paraId="3F491148" w14:textId="77777777" w:rsidR="000C32D4" w:rsidRPr="00CD11DE" w:rsidRDefault="000C32D4" w:rsidP="00494DEB">
      <w:pPr>
        <w:spacing w:after="0" w:line="240" w:lineRule="auto"/>
        <w:ind w:left="432"/>
        <w:rPr>
          <w:b/>
          <w:sz w:val="20"/>
          <w:szCs w:val="20"/>
        </w:rPr>
      </w:pPr>
    </w:p>
    <w:p w14:paraId="6E7AF425" w14:textId="77777777" w:rsidR="00315AA6" w:rsidRPr="00CD11DE" w:rsidRDefault="00315AA6" w:rsidP="00494DEB">
      <w:pPr>
        <w:spacing w:after="0" w:line="240" w:lineRule="auto"/>
        <w:ind w:left="432"/>
        <w:rPr>
          <w:b/>
          <w:sz w:val="20"/>
          <w:szCs w:val="20"/>
        </w:rPr>
      </w:pPr>
    </w:p>
    <w:tbl>
      <w:tblPr>
        <w:tblW w:w="13859" w:type="dxa"/>
        <w:tblLook w:val="04A0" w:firstRow="1" w:lastRow="0" w:firstColumn="1" w:lastColumn="0" w:noHBand="0" w:noVBand="1"/>
      </w:tblPr>
      <w:tblGrid>
        <w:gridCol w:w="555"/>
        <w:gridCol w:w="9980"/>
        <w:gridCol w:w="1662"/>
        <w:gridCol w:w="1662"/>
      </w:tblGrid>
      <w:tr w:rsidR="00315AA6" w:rsidRPr="00CD11DE" w14:paraId="02887256" w14:textId="77777777" w:rsidTr="006F3279">
        <w:trPr>
          <w:trHeight w:val="300"/>
        </w:trPr>
        <w:tc>
          <w:tcPr>
            <w:tcW w:w="555" w:type="dxa"/>
            <w:tcBorders>
              <w:top w:val="nil"/>
              <w:left w:val="nil"/>
              <w:bottom w:val="nil"/>
              <w:right w:val="nil"/>
            </w:tcBorders>
            <w:shd w:val="clear" w:color="auto" w:fill="auto"/>
            <w:vAlign w:val="center"/>
            <w:hideMark/>
          </w:tcPr>
          <w:p w14:paraId="401C1323" w14:textId="77777777" w:rsidR="00315AA6" w:rsidRPr="00CD11DE" w:rsidRDefault="00315AA6" w:rsidP="00315AA6">
            <w:pPr>
              <w:keepLines w:val="0"/>
              <w:spacing w:after="0" w:line="240" w:lineRule="auto"/>
              <w:jc w:val="left"/>
              <w:rPr>
                <w:rFonts w:ascii="Times New Roman" w:eastAsia="Times New Roman" w:hAnsi="Times New Roman" w:cs="Times New Roman"/>
                <w:color w:val="auto"/>
                <w:sz w:val="24"/>
                <w:szCs w:val="24"/>
                <w:lang w:eastAsia="en-GB"/>
              </w:rPr>
            </w:pPr>
          </w:p>
        </w:tc>
        <w:tc>
          <w:tcPr>
            <w:tcW w:w="9980" w:type="dxa"/>
            <w:tcBorders>
              <w:top w:val="nil"/>
              <w:left w:val="nil"/>
              <w:bottom w:val="nil"/>
              <w:right w:val="single" w:sz="4" w:space="0" w:color="auto"/>
            </w:tcBorders>
            <w:shd w:val="clear" w:color="auto" w:fill="auto"/>
            <w:vAlign w:val="center"/>
            <w:hideMark/>
          </w:tcPr>
          <w:p w14:paraId="10170EB1" w14:textId="77777777" w:rsidR="00315AA6" w:rsidRPr="00CD11DE" w:rsidRDefault="00315AA6" w:rsidP="00315AA6">
            <w:pPr>
              <w:keepLines w:val="0"/>
              <w:spacing w:after="0" w:line="240" w:lineRule="auto"/>
              <w:jc w:val="left"/>
              <w:rPr>
                <w:rFonts w:ascii="Calibri" w:eastAsia="Times New Roman" w:hAnsi="Calibri" w:cs="Calibri"/>
                <w:b/>
                <w:bCs/>
                <w:color w:val="AA322F"/>
                <w:lang w:eastAsia="en-GB"/>
              </w:rPr>
            </w:pPr>
            <w:r w:rsidRPr="00CD11DE">
              <w:rPr>
                <w:rFonts w:ascii="Calibri" w:eastAsia="Times New Roman" w:hAnsi="Calibri" w:cs="Calibri"/>
                <w:b/>
                <w:bCs/>
                <w:color w:val="AA322F"/>
                <w:lang w:eastAsia="en-GB"/>
              </w:rPr>
              <w:t> </w:t>
            </w:r>
          </w:p>
        </w:tc>
        <w:tc>
          <w:tcPr>
            <w:tcW w:w="1662" w:type="dxa"/>
            <w:tcBorders>
              <w:top w:val="single" w:sz="4" w:space="0" w:color="auto"/>
              <w:left w:val="nil"/>
              <w:bottom w:val="single" w:sz="4" w:space="0" w:color="auto"/>
              <w:right w:val="single" w:sz="4" w:space="0" w:color="auto"/>
            </w:tcBorders>
            <w:shd w:val="clear" w:color="auto" w:fill="06B1D6" w:themeFill="accent1"/>
            <w:vAlign w:val="center"/>
            <w:hideMark/>
          </w:tcPr>
          <w:p w14:paraId="5F9B6222" w14:textId="77777777" w:rsidR="00315AA6" w:rsidRPr="00CD11DE" w:rsidRDefault="00315AA6"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a</w:t>
            </w:r>
          </w:p>
        </w:tc>
        <w:tc>
          <w:tcPr>
            <w:tcW w:w="1662" w:type="dxa"/>
            <w:tcBorders>
              <w:top w:val="single" w:sz="4" w:space="0" w:color="auto"/>
              <w:left w:val="nil"/>
              <w:bottom w:val="single" w:sz="4" w:space="0" w:color="auto"/>
              <w:right w:val="single" w:sz="4" w:space="0" w:color="auto"/>
            </w:tcBorders>
            <w:shd w:val="clear" w:color="auto" w:fill="06B1D6" w:themeFill="accent1"/>
            <w:vAlign w:val="center"/>
            <w:hideMark/>
          </w:tcPr>
          <w:p w14:paraId="67109747" w14:textId="77777777" w:rsidR="00315AA6" w:rsidRPr="00CD11DE" w:rsidRDefault="00315AA6"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e</w:t>
            </w:r>
          </w:p>
        </w:tc>
      </w:tr>
      <w:tr w:rsidR="00315AA6" w:rsidRPr="00CD11DE" w14:paraId="763D9C65" w14:textId="77777777" w:rsidTr="006F3279">
        <w:trPr>
          <w:trHeight w:val="300"/>
        </w:trPr>
        <w:tc>
          <w:tcPr>
            <w:tcW w:w="555" w:type="dxa"/>
            <w:tcBorders>
              <w:top w:val="nil"/>
              <w:left w:val="nil"/>
              <w:bottom w:val="nil"/>
              <w:right w:val="nil"/>
            </w:tcBorders>
            <w:shd w:val="clear" w:color="auto" w:fill="auto"/>
            <w:vAlign w:val="center"/>
            <w:hideMark/>
          </w:tcPr>
          <w:p w14:paraId="4797042A" w14:textId="77777777" w:rsidR="00315AA6" w:rsidRPr="00CD11DE" w:rsidRDefault="00315AA6" w:rsidP="00315AA6">
            <w:pPr>
              <w:keepLines w:val="0"/>
              <w:spacing w:after="0" w:line="240" w:lineRule="auto"/>
              <w:jc w:val="center"/>
              <w:rPr>
                <w:rFonts w:eastAsia="Times New Roman"/>
                <w:b/>
                <w:bCs/>
                <w:color w:val="FFFFFF"/>
                <w:sz w:val="20"/>
                <w:szCs w:val="20"/>
                <w:lang w:eastAsia="en-GB"/>
              </w:rPr>
            </w:pPr>
          </w:p>
        </w:tc>
        <w:tc>
          <w:tcPr>
            <w:tcW w:w="9980" w:type="dxa"/>
            <w:tcBorders>
              <w:top w:val="nil"/>
              <w:left w:val="nil"/>
              <w:bottom w:val="nil"/>
              <w:right w:val="single" w:sz="4" w:space="0" w:color="auto"/>
            </w:tcBorders>
            <w:shd w:val="clear" w:color="auto" w:fill="auto"/>
            <w:vAlign w:val="center"/>
            <w:hideMark/>
          </w:tcPr>
          <w:p w14:paraId="07879E93" w14:textId="77777777" w:rsidR="00315AA6" w:rsidRPr="00CD11DE" w:rsidRDefault="00315AA6" w:rsidP="00315AA6">
            <w:pPr>
              <w:keepLines w:val="0"/>
              <w:spacing w:after="0" w:line="240" w:lineRule="auto"/>
              <w:jc w:val="left"/>
              <w:rPr>
                <w:rFonts w:ascii="Calibri" w:eastAsia="Times New Roman" w:hAnsi="Calibri" w:cs="Calibri"/>
                <w:i/>
                <w:iCs/>
                <w:color w:val="AA322F"/>
                <w:lang w:eastAsia="en-GB"/>
              </w:rPr>
            </w:pPr>
            <w:r w:rsidRPr="00CD11DE">
              <w:rPr>
                <w:rFonts w:ascii="Calibri" w:eastAsia="Times New Roman" w:hAnsi="Calibri" w:cs="Calibri"/>
                <w:i/>
                <w:iCs/>
                <w:color w:val="AA322F"/>
                <w:lang w:eastAsia="en-GB"/>
              </w:rPr>
              <w:t> </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78DB1350" w14:textId="43E14E2E" w:rsidR="00315AA6" w:rsidRPr="00CD11DE" w:rsidRDefault="00315AA6"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31/12/</w:t>
            </w:r>
            <w:r w:rsidR="0023087C">
              <w:rPr>
                <w:rFonts w:eastAsia="Times New Roman"/>
                <w:b/>
                <w:bCs/>
                <w:color w:val="FFFFFF"/>
                <w:sz w:val="20"/>
                <w:szCs w:val="20"/>
                <w:lang w:eastAsia="en-GB"/>
              </w:rPr>
              <w:t>2024</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0780E0D2" w14:textId="34FB36FB" w:rsidR="00315AA6" w:rsidRPr="00CD11DE" w:rsidRDefault="00315AA6"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31/12/</w:t>
            </w:r>
            <w:r w:rsidR="0023087C">
              <w:rPr>
                <w:rFonts w:eastAsia="Times New Roman"/>
                <w:b/>
                <w:bCs/>
                <w:color w:val="FFFFFF"/>
                <w:sz w:val="20"/>
                <w:szCs w:val="20"/>
                <w:lang w:eastAsia="en-GB"/>
              </w:rPr>
              <w:t>2023</w:t>
            </w:r>
          </w:p>
        </w:tc>
      </w:tr>
      <w:tr w:rsidR="00315AA6" w:rsidRPr="00CD11DE" w14:paraId="12E04EC4" w14:textId="77777777" w:rsidTr="006F3279">
        <w:trPr>
          <w:trHeight w:val="300"/>
        </w:trPr>
        <w:tc>
          <w:tcPr>
            <w:tcW w:w="555" w:type="dxa"/>
            <w:tcBorders>
              <w:top w:val="nil"/>
              <w:left w:val="nil"/>
              <w:bottom w:val="nil"/>
              <w:right w:val="nil"/>
            </w:tcBorders>
            <w:shd w:val="clear" w:color="auto" w:fill="auto"/>
            <w:vAlign w:val="center"/>
            <w:hideMark/>
          </w:tcPr>
          <w:p w14:paraId="34A5D32A" w14:textId="77777777" w:rsidR="00315AA6" w:rsidRPr="00CD11DE" w:rsidRDefault="00315AA6" w:rsidP="00315AA6">
            <w:pPr>
              <w:keepLines w:val="0"/>
              <w:spacing w:after="0" w:line="240" w:lineRule="auto"/>
              <w:jc w:val="center"/>
              <w:rPr>
                <w:rFonts w:eastAsia="Times New Roman"/>
                <w:b/>
                <w:bCs/>
                <w:color w:val="FFFFFF"/>
                <w:sz w:val="20"/>
                <w:szCs w:val="20"/>
                <w:lang w:eastAsia="en-GB"/>
              </w:rPr>
            </w:pPr>
          </w:p>
        </w:tc>
        <w:tc>
          <w:tcPr>
            <w:tcW w:w="9980" w:type="dxa"/>
            <w:tcBorders>
              <w:top w:val="nil"/>
              <w:left w:val="nil"/>
              <w:bottom w:val="nil"/>
              <w:right w:val="nil"/>
            </w:tcBorders>
            <w:shd w:val="clear" w:color="auto" w:fill="auto"/>
            <w:vAlign w:val="center"/>
            <w:hideMark/>
          </w:tcPr>
          <w:p w14:paraId="58A2D17E" w14:textId="77777777" w:rsidR="00315AA6" w:rsidRPr="00CD11DE" w:rsidRDefault="00315AA6" w:rsidP="00315AA6">
            <w:pPr>
              <w:keepLines w:val="0"/>
              <w:spacing w:after="0" w:line="240" w:lineRule="auto"/>
              <w:jc w:val="left"/>
              <w:rPr>
                <w:rFonts w:ascii="Times New Roman" w:eastAsia="Times New Roman" w:hAnsi="Times New Roman" w:cs="Times New Roman"/>
                <w:color w:val="auto"/>
                <w:sz w:val="20"/>
                <w:szCs w:val="20"/>
                <w:lang w:eastAsia="en-GB"/>
              </w:rPr>
            </w:pPr>
          </w:p>
        </w:tc>
        <w:tc>
          <w:tcPr>
            <w:tcW w:w="1662" w:type="dxa"/>
            <w:tcBorders>
              <w:top w:val="nil"/>
              <w:left w:val="single" w:sz="4" w:space="0" w:color="auto"/>
              <w:bottom w:val="single" w:sz="4" w:space="0" w:color="auto"/>
              <w:right w:val="single" w:sz="4" w:space="0" w:color="auto"/>
            </w:tcBorders>
            <w:shd w:val="clear" w:color="auto" w:fill="06B1D6" w:themeFill="accent1"/>
            <w:vAlign w:val="center"/>
            <w:hideMark/>
          </w:tcPr>
          <w:p w14:paraId="794BA370" w14:textId="77777777" w:rsidR="00315AA6" w:rsidRPr="00CD11DE" w:rsidRDefault="00315AA6"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£m</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65CA09A1" w14:textId="77777777" w:rsidR="00315AA6" w:rsidRPr="00CD11DE" w:rsidRDefault="00315AA6"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£m</w:t>
            </w:r>
          </w:p>
        </w:tc>
      </w:tr>
      <w:tr w:rsidR="00315AA6" w:rsidRPr="00CD11DE" w14:paraId="2FACA203" w14:textId="77777777" w:rsidTr="006F3279">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423A708C" w14:textId="77777777" w:rsidR="00315AA6" w:rsidRPr="00CD11DE" w:rsidRDefault="00315AA6" w:rsidP="00315AA6">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56FC7F4D" w14:textId="77777777" w:rsidR="00315AA6" w:rsidRPr="00CD11DE" w:rsidRDefault="00315AA6" w:rsidP="00315AA6">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Available own funds (amounts)</w:t>
            </w:r>
          </w:p>
        </w:tc>
      </w:tr>
      <w:tr w:rsidR="00173B0E" w:rsidRPr="00CD11DE" w14:paraId="0E662FD2"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CD01C4B"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1</w:t>
            </w:r>
          </w:p>
        </w:tc>
        <w:tc>
          <w:tcPr>
            <w:tcW w:w="9980" w:type="dxa"/>
            <w:tcBorders>
              <w:top w:val="nil"/>
              <w:left w:val="nil"/>
              <w:bottom w:val="single" w:sz="4" w:space="0" w:color="auto"/>
              <w:right w:val="single" w:sz="4" w:space="0" w:color="auto"/>
            </w:tcBorders>
            <w:shd w:val="clear" w:color="auto" w:fill="auto"/>
            <w:vAlign w:val="center"/>
            <w:hideMark/>
          </w:tcPr>
          <w:p w14:paraId="26DA1C80"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 xml:space="preserve">Common Equity Tier 1 (CET1) capital </w:t>
            </w:r>
          </w:p>
        </w:tc>
        <w:tc>
          <w:tcPr>
            <w:tcW w:w="1662" w:type="dxa"/>
            <w:tcBorders>
              <w:top w:val="nil"/>
              <w:left w:val="nil"/>
              <w:bottom w:val="single" w:sz="4" w:space="0" w:color="auto"/>
              <w:right w:val="single" w:sz="4" w:space="0" w:color="auto"/>
            </w:tcBorders>
            <w:shd w:val="clear" w:color="auto" w:fill="auto"/>
            <w:vAlign w:val="center"/>
          </w:tcPr>
          <w:p w14:paraId="18841745" w14:textId="2478FB2D"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 xml:space="preserve"> 208.2 </w:t>
            </w:r>
          </w:p>
        </w:tc>
        <w:tc>
          <w:tcPr>
            <w:tcW w:w="1662" w:type="dxa"/>
            <w:tcBorders>
              <w:top w:val="nil"/>
              <w:left w:val="nil"/>
              <w:bottom w:val="single" w:sz="4" w:space="0" w:color="auto"/>
              <w:right w:val="single" w:sz="4" w:space="0" w:color="auto"/>
            </w:tcBorders>
            <w:shd w:val="clear" w:color="auto" w:fill="auto"/>
            <w:vAlign w:val="center"/>
            <w:hideMark/>
          </w:tcPr>
          <w:p w14:paraId="1E7D7175" w14:textId="5048A578"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183.9</w:t>
            </w:r>
          </w:p>
        </w:tc>
      </w:tr>
      <w:tr w:rsidR="00173B0E" w:rsidRPr="00CD11DE" w14:paraId="1011E769"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1B1AAA0"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2</w:t>
            </w:r>
          </w:p>
        </w:tc>
        <w:tc>
          <w:tcPr>
            <w:tcW w:w="9980" w:type="dxa"/>
            <w:tcBorders>
              <w:top w:val="nil"/>
              <w:left w:val="nil"/>
              <w:bottom w:val="single" w:sz="4" w:space="0" w:color="auto"/>
              <w:right w:val="single" w:sz="4" w:space="0" w:color="auto"/>
            </w:tcBorders>
            <w:shd w:val="clear" w:color="auto" w:fill="auto"/>
            <w:vAlign w:val="center"/>
            <w:hideMark/>
          </w:tcPr>
          <w:p w14:paraId="27EB9F8E"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 xml:space="preserve">Tier 1 capital </w:t>
            </w:r>
          </w:p>
        </w:tc>
        <w:tc>
          <w:tcPr>
            <w:tcW w:w="1662" w:type="dxa"/>
            <w:tcBorders>
              <w:top w:val="nil"/>
              <w:left w:val="nil"/>
              <w:bottom w:val="single" w:sz="4" w:space="0" w:color="auto"/>
              <w:right w:val="single" w:sz="4" w:space="0" w:color="auto"/>
            </w:tcBorders>
            <w:shd w:val="clear" w:color="auto" w:fill="auto"/>
            <w:vAlign w:val="center"/>
          </w:tcPr>
          <w:p w14:paraId="1554E5DA" w14:textId="0E00C84F"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 xml:space="preserve"> 211.2 </w:t>
            </w:r>
          </w:p>
        </w:tc>
        <w:tc>
          <w:tcPr>
            <w:tcW w:w="1662" w:type="dxa"/>
            <w:tcBorders>
              <w:top w:val="nil"/>
              <w:left w:val="nil"/>
              <w:bottom w:val="single" w:sz="4" w:space="0" w:color="auto"/>
              <w:right w:val="single" w:sz="4" w:space="0" w:color="auto"/>
            </w:tcBorders>
            <w:shd w:val="clear" w:color="auto" w:fill="auto"/>
            <w:vAlign w:val="center"/>
            <w:hideMark/>
          </w:tcPr>
          <w:p w14:paraId="750298CF" w14:textId="4F113EC3"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186.9</w:t>
            </w:r>
          </w:p>
        </w:tc>
      </w:tr>
      <w:tr w:rsidR="00173B0E" w:rsidRPr="00CD11DE" w14:paraId="2E554BFB"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3CBCD95"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3</w:t>
            </w:r>
          </w:p>
        </w:tc>
        <w:tc>
          <w:tcPr>
            <w:tcW w:w="9980" w:type="dxa"/>
            <w:tcBorders>
              <w:top w:val="nil"/>
              <w:left w:val="nil"/>
              <w:bottom w:val="single" w:sz="4" w:space="0" w:color="auto"/>
              <w:right w:val="single" w:sz="4" w:space="0" w:color="auto"/>
            </w:tcBorders>
            <w:shd w:val="clear" w:color="auto" w:fill="auto"/>
            <w:vAlign w:val="center"/>
            <w:hideMark/>
          </w:tcPr>
          <w:p w14:paraId="2C9AA2C6"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 xml:space="preserve">Total capital </w:t>
            </w:r>
          </w:p>
        </w:tc>
        <w:tc>
          <w:tcPr>
            <w:tcW w:w="1662" w:type="dxa"/>
            <w:tcBorders>
              <w:top w:val="nil"/>
              <w:left w:val="nil"/>
              <w:bottom w:val="single" w:sz="4" w:space="0" w:color="auto"/>
              <w:right w:val="single" w:sz="4" w:space="0" w:color="auto"/>
            </w:tcBorders>
            <w:shd w:val="clear" w:color="auto" w:fill="auto"/>
            <w:vAlign w:val="center"/>
          </w:tcPr>
          <w:p w14:paraId="43635102" w14:textId="63A1A44A"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 xml:space="preserve"> 224.9 </w:t>
            </w:r>
          </w:p>
        </w:tc>
        <w:tc>
          <w:tcPr>
            <w:tcW w:w="1662" w:type="dxa"/>
            <w:tcBorders>
              <w:top w:val="nil"/>
              <w:left w:val="nil"/>
              <w:bottom w:val="single" w:sz="4" w:space="0" w:color="auto"/>
              <w:right w:val="single" w:sz="4" w:space="0" w:color="auto"/>
            </w:tcBorders>
            <w:shd w:val="clear" w:color="auto" w:fill="auto"/>
            <w:vAlign w:val="center"/>
            <w:hideMark/>
          </w:tcPr>
          <w:p w14:paraId="542793B7" w14:textId="4B28A8D6"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205.5</w:t>
            </w:r>
          </w:p>
        </w:tc>
      </w:tr>
      <w:tr w:rsidR="00315AA6" w:rsidRPr="00CD11DE" w14:paraId="20E4CDF7" w14:textId="77777777" w:rsidTr="006F3279">
        <w:trPr>
          <w:trHeight w:val="300"/>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6B954A80" w14:textId="77777777" w:rsidR="00315AA6" w:rsidRPr="00CD11DE" w:rsidRDefault="00315AA6" w:rsidP="00315AA6">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595805D6" w14:textId="77777777" w:rsidR="00315AA6" w:rsidRPr="00CD11DE" w:rsidRDefault="00315AA6" w:rsidP="00315AA6">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Risk-weighted exposure amounts</w:t>
            </w:r>
          </w:p>
        </w:tc>
      </w:tr>
      <w:tr w:rsidR="006E523C" w:rsidRPr="00CD11DE" w14:paraId="6A8E993D" w14:textId="77777777" w:rsidTr="00B3548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4BE53CD" w14:textId="77777777" w:rsidR="006E523C" w:rsidRPr="00CD11DE" w:rsidRDefault="006E523C" w:rsidP="006E523C">
            <w:pPr>
              <w:keepLines w:val="0"/>
              <w:spacing w:after="0" w:line="240" w:lineRule="auto"/>
              <w:jc w:val="center"/>
              <w:rPr>
                <w:rFonts w:eastAsia="Times New Roman"/>
                <w:sz w:val="20"/>
                <w:szCs w:val="20"/>
                <w:lang w:eastAsia="en-GB"/>
              </w:rPr>
            </w:pPr>
            <w:r w:rsidRPr="00CD11DE">
              <w:rPr>
                <w:rFonts w:eastAsia="Times New Roman"/>
                <w:sz w:val="20"/>
                <w:szCs w:val="20"/>
                <w:lang w:eastAsia="en-GB"/>
              </w:rPr>
              <w:t>4</w:t>
            </w:r>
          </w:p>
        </w:tc>
        <w:tc>
          <w:tcPr>
            <w:tcW w:w="9980" w:type="dxa"/>
            <w:tcBorders>
              <w:top w:val="nil"/>
              <w:left w:val="nil"/>
              <w:bottom w:val="single" w:sz="4" w:space="0" w:color="auto"/>
              <w:right w:val="single" w:sz="4" w:space="0" w:color="auto"/>
            </w:tcBorders>
            <w:shd w:val="clear" w:color="auto" w:fill="auto"/>
            <w:vAlign w:val="center"/>
            <w:hideMark/>
          </w:tcPr>
          <w:p w14:paraId="14A19580" w14:textId="77777777" w:rsidR="006E523C" w:rsidRPr="00CD11DE" w:rsidRDefault="006E523C" w:rsidP="006E523C">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risk-weighted exposure amount</w:t>
            </w:r>
          </w:p>
        </w:tc>
        <w:tc>
          <w:tcPr>
            <w:tcW w:w="1662" w:type="dxa"/>
            <w:tcBorders>
              <w:top w:val="nil"/>
              <w:left w:val="nil"/>
              <w:bottom w:val="single" w:sz="4" w:space="0" w:color="auto"/>
              <w:right w:val="single" w:sz="4" w:space="0" w:color="auto"/>
            </w:tcBorders>
            <w:shd w:val="clear" w:color="auto" w:fill="auto"/>
            <w:vAlign w:val="center"/>
          </w:tcPr>
          <w:p w14:paraId="15F1018E" w14:textId="063BB66E" w:rsidR="006E523C" w:rsidRPr="00CD11DE" w:rsidRDefault="00173B0E" w:rsidP="006E523C">
            <w:pPr>
              <w:keepLines w:val="0"/>
              <w:spacing w:after="0" w:line="240" w:lineRule="auto"/>
              <w:jc w:val="right"/>
              <w:rPr>
                <w:rFonts w:eastAsia="Times New Roman"/>
                <w:sz w:val="20"/>
                <w:szCs w:val="20"/>
                <w:lang w:eastAsia="en-GB"/>
              </w:rPr>
            </w:pPr>
            <w:r>
              <w:rPr>
                <w:rFonts w:eastAsia="Times New Roman"/>
                <w:sz w:val="20"/>
                <w:szCs w:val="20"/>
                <w:lang w:eastAsia="en-GB"/>
              </w:rPr>
              <w:t>1,</w:t>
            </w:r>
            <w:r w:rsidR="00F20ADF">
              <w:rPr>
                <w:rFonts w:eastAsia="Times New Roman"/>
                <w:sz w:val="20"/>
                <w:szCs w:val="20"/>
                <w:lang w:eastAsia="en-GB"/>
              </w:rPr>
              <w:t>307.8</w:t>
            </w:r>
          </w:p>
        </w:tc>
        <w:tc>
          <w:tcPr>
            <w:tcW w:w="1662" w:type="dxa"/>
            <w:tcBorders>
              <w:top w:val="nil"/>
              <w:left w:val="nil"/>
              <w:bottom w:val="single" w:sz="4" w:space="0" w:color="auto"/>
              <w:right w:val="single" w:sz="4" w:space="0" w:color="auto"/>
            </w:tcBorders>
            <w:shd w:val="clear" w:color="auto" w:fill="auto"/>
            <w:vAlign w:val="center"/>
          </w:tcPr>
          <w:p w14:paraId="59D564F3" w14:textId="3BD25D06"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1,059.1</w:t>
            </w:r>
          </w:p>
        </w:tc>
      </w:tr>
      <w:tr w:rsidR="00BB5BD3" w:rsidRPr="00CD11DE" w14:paraId="4C00573A" w14:textId="77777777" w:rsidTr="006F3279">
        <w:trPr>
          <w:trHeight w:val="300"/>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7B99A6A1"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509A56CA"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Capital ratios  (as a percentage of risk-weighted exposure amount)</w:t>
            </w:r>
          </w:p>
        </w:tc>
      </w:tr>
      <w:tr w:rsidR="00173B0E" w:rsidRPr="00CD11DE" w14:paraId="33F13643"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41F2FBA"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5</w:t>
            </w:r>
          </w:p>
        </w:tc>
        <w:tc>
          <w:tcPr>
            <w:tcW w:w="9980" w:type="dxa"/>
            <w:tcBorders>
              <w:top w:val="nil"/>
              <w:left w:val="nil"/>
              <w:bottom w:val="single" w:sz="4" w:space="0" w:color="auto"/>
              <w:right w:val="single" w:sz="4" w:space="0" w:color="auto"/>
            </w:tcBorders>
            <w:shd w:val="clear" w:color="auto" w:fill="auto"/>
            <w:vAlign w:val="center"/>
            <w:hideMark/>
          </w:tcPr>
          <w:p w14:paraId="7B76BC5F"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Common Equity Tier 1 ratio (%)</w:t>
            </w:r>
          </w:p>
        </w:tc>
        <w:tc>
          <w:tcPr>
            <w:tcW w:w="1662" w:type="dxa"/>
            <w:tcBorders>
              <w:top w:val="nil"/>
              <w:left w:val="nil"/>
              <w:bottom w:val="single" w:sz="4" w:space="0" w:color="auto"/>
              <w:right w:val="single" w:sz="4" w:space="0" w:color="auto"/>
            </w:tcBorders>
            <w:shd w:val="clear" w:color="auto" w:fill="auto"/>
            <w:vAlign w:val="center"/>
          </w:tcPr>
          <w:p w14:paraId="1525857F" w14:textId="20E51312"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1</w:t>
            </w:r>
            <w:r w:rsidR="00F20ADF">
              <w:rPr>
                <w:sz w:val="20"/>
                <w:szCs w:val="20"/>
              </w:rPr>
              <w:t>5.95</w:t>
            </w:r>
            <w:r w:rsidRPr="007E0530">
              <w:rPr>
                <w:sz w:val="20"/>
                <w:szCs w:val="20"/>
              </w:rPr>
              <w:t>%</w:t>
            </w:r>
          </w:p>
        </w:tc>
        <w:tc>
          <w:tcPr>
            <w:tcW w:w="1662" w:type="dxa"/>
            <w:tcBorders>
              <w:top w:val="nil"/>
              <w:left w:val="nil"/>
              <w:bottom w:val="single" w:sz="4" w:space="0" w:color="auto"/>
              <w:right w:val="single" w:sz="4" w:space="0" w:color="auto"/>
            </w:tcBorders>
            <w:shd w:val="clear" w:color="auto" w:fill="auto"/>
            <w:vAlign w:val="center"/>
            <w:hideMark/>
          </w:tcPr>
          <w:p w14:paraId="5B7F0BB6" w14:textId="0F1968F7"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17.36%</w:t>
            </w:r>
          </w:p>
        </w:tc>
      </w:tr>
      <w:tr w:rsidR="00173B0E" w:rsidRPr="00CD11DE" w14:paraId="3A15B198"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7BB6675"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6</w:t>
            </w:r>
          </w:p>
        </w:tc>
        <w:tc>
          <w:tcPr>
            <w:tcW w:w="9980" w:type="dxa"/>
            <w:tcBorders>
              <w:top w:val="nil"/>
              <w:left w:val="nil"/>
              <w:bottom w:val="single" w:sz="4" w:space="0" w:color="auto"/>
              <w:right w:val="single" w:sz="4" w:space="0" w:color="auto"/>
            </w:tcBorders>
            <w:shd w:val="clear" w:color="auto" w:fill="auto"/>
            <w:vAlign w:val="center"/>
            <w:hideMark/>
          </w:tcPr>
          <w:p w14:paraId="7B56603B"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Tier 1 ratio (%)</w:t>
            </w:r>
          </w:p>
        </w:tc>
        <w:tc>
          <w:tcPr>
            <w:tcW w:w="1662" w:type="dxa"/>
            <w:tcBorders>
              <w:top w:val="nil"/>
              <w:left w:val="nil"/>
              <w:bottom w:val="single" w:sz="4" w:space="0" w:color="auto"/>
              <w:right w:val="single" w:sz="4" w:space="0" w:color="auto"/>
            </w:tcBorders>
            <w:shd w:val="clear" w:color="auto" w:fill="auto"/>
            <w:vAlign w:val="center"/>
          </w:tcPr>
          <w:p w14:paraId="3BB6AD72" w14:textId="1522423C"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16.</w:t>
            </w:r>
            <w:r w:rsidR="00F20ADF">
              <w:rPr>
                <w:sz w:val="20"/>
                <w:szCs w:val="20"/>
              </w:rPr>
              <w:t>15</w:t>
            </w:r>
            <w:r w:rsidRPr="007E0530">
              <w:rPr>
                <w:sz w:val="20"/>
                <w:szCs w:val="20"/>
              </w:rPr>
              <w:t>%</w:t>
            </w:r>
          </w:p>
        </w:tc>
        <w:tc>
          <w:tcPr>
            <w:tcW w:w="1662" w:type="dxa"/>
            <w:tcBorders>
              <w:top w:val="nil"/>
              <w:left w:val="nil"/>
              <w:bottom w:val="single" w:sz="4" w:space="0" w:color="auto"/>
              <w:right w:val="single" w:sz="4" w:space="0" w:color="auto"/>
            </w:tcBorders>
            <w:shd w:val="clear" w:color="auto" w:fill="auto"/>
            <w:vAlign w:val="center"/>
            <w:hideMark/>
          </w:tcPr>
          <w:p w14:paraId="6A28CB8C" w14:textId="5E53B84F"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17.65%</w:t>
            </w:r>
          </w:p>
        </w:tc>
      </w:tr>
      <w:tr w:rsidR="00173B0E" w:rsidRPr="00CD11DE" w14:paraId="29DC4D43"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D4AF819"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7</w:t>
            </w:r>
          </w:p>
        </w:tc>
        <w:tc>
          <w:tcPr>
            <w:tcW w:w="9980" w:type="dxa"/>
            <w:tcBorders>
              <w:top w:val="nil"/>
              <w:left w:val="nil"/>
              <w:bottom w:val="single" w:sz="4" w:space="0" w:color="auto"/>
              <w:right w:val="single" w:sz="4" w:space="0" w:color="auto"/>
            </w:tcBorders>
            <w:shd w:val="clear" w:color="auto" w:fill="auto"/>
            <w:vAlign w:val="center"/>
            <w:hideMark/>
          </w:tcPr>
          <w:p w14:paraId="701CB5CA"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capital ratio (%)</w:t>
            </w:r>
          </w:p>
        </w:tc>
        <w:tc>
          <w:tcPr>
            <w:tcW w:w="1662" w:type="dxa"/>
            <w:tcBorders>
              <w:top w:val="nil"/>
              <w:left w:val="nil"/>
              <w:bottom w:val="single" w:sz="4" w:space="0" w:color="auto"/>
              <w:right w:val="single" w:sz="4" w:space="0" w:color="auto"/>
            </w:tcBorders>
            <w:shd w:val="clear" w:color="auto" w:fill="auto"/>
            <w:vAlign w:val="center"/>
          </w:tcPr>
          <w:p w14:paraId="1876F701" w14:textId="460EADCF"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17.</w:t>
            </w:r>
            <w:r w:rsidR="00F20ADF">
              <w:rPr>
                <w:sz w:val="20"/>
                <w:szCs w:val="20"/>
              </w:rPr>
              <w:t>19</w:t>
            </w:r>
            <w:r w:rsidRPr="007E0530">
              <w:rPr>
                <w:sz w:val="20"/>
                <w:szCs w:val="20"/>
              </w:rPr>
              <w:t>%</w:t>
            </w:r>
          </w:p>
        </w:tc>
        <w:tc>
          <w:tcPr>
            <w:tcW w:w="1662" w:type="dxa"/>
            <w:tcBorders>
              <w:top w:val="nil"/>
              <w:left w:val="nil"/>
              <w:bottom w:val="single" w:sz="4" w:space="0" w:color="auto"/>
              <w:right w:val="single" w:sz="4" w:space="0" w:color="auto"/>
            </w:tcBorders>
            <w:shd w:val="clear" w:color="auto" w:fill="auto"/>
            <w:vAlign w:val="center"/>
            <w:hideMark/>
          </w:tcPr>
          <w:p w14:paraId="26EE9524" w14:textId="3C2EC740"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19.41%</w:t>
            </w:r>
          </w:p>
        </w:tc>
      </w:tr>
      <w:tr w:rsidR="00BB5BD3" w:rsidRPr="00CD11DE" w14:paraId="2FE1B0B4" w14:textId="77777777" w:rsidTr="006F3279">
        <w:trPr>
          <w:trHeight w:val="315"/>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038CCC40"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4B845C9C"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Additional own funds requirements based on SREP (as a percentage of risk-weighted exposure amount)</w:t>
            </w:r>
          </w:p>
        </w:tc>
      </w:tr>
      <w:tr w:rsidR="006E523C" w:rsidRPr="00CD11DE" w14:paraId="5010C2BA" w14:textId="77777777" w:rsidTr="00B3548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044AFAD" w14:textId="77777777" w:rsidR="006E523C" w:rsidRPr="00CD11DE" w:rsidRDefault="006E523C" w:rsidP="006E523C">
            <w:pPr>
              <w:keepLines w:val="0"/>
              <w:spacing w:after="0" w:line="240" w:lineRule="auto"/>
              <w:jc w:val="center"/>
              <w:rPr>
                <w:rFonts w:eastAsia="Times New Roman"/>
                <w:sz w:val="20"/>
                <w:szCs w:val="20"/>
                <w:lang w:eastAsia="en-GB"/>
              </w:rPr>
            </w:pPr>
            <w:r w:rsidRPr="00CD11DE">
              <w:rPr>
                <w:rFonts w:eastAsia="Times New Roman"/>
                <w:sz w:val="20"/>
                <w:szCs w:val="20"/>
                <w:lang w:eastAsia="en-GB"/>
              </w:rPr>
              <w:t>UK 7a</w:t>
            </w:r>
          </w:p>
        </w:tc>
        <w:tc>
          <w:tcPr>
            <w:tcW w:w="9980" w:type="dxa"/>
            <w:tcBorders>
              <w:top w:val="nil"/>
              <w:left w:val="nil"/>
              <w:bottom w:val="single" w:sz="4" w:space="0" w:color="auto"/>
              <w:right w:val="single" w:sz="4" w:space="0" w:color="auto"/>
            </w:tcBorders>
            <w:shd w:val="clear" w:color="auto" w:fill="auto"/>
            <w:vAlign w:val="center"/>
            <w:hideMark/>
          </w:tcPr>
          <w:p w14:paraId="661441DC" w14:textId="77777777" w:rsidR="006E523C" w:rsidRPr="00CD11DE" w:rsidRDefault="006E523C" w:rsidP="006E523C">
            <w:pPr>
              <w:keepLines w:val="0"/>
              <w:spacing w:after="0" w:line="240" w:lineRule="auto"/>
              <w:jc w:val="left"/>
              <w:rPr>
                <w:rFonts w:eastAsia="Times New Roman"/>
                <w:sz w:val="20"/>
                <w:szCs w:val="20"/>
                <w:lang w:eastAsia="en-GB"/>
              </w:rPr>
            </w:pPr>
            <w:r w:rsidRPr="00CD11DE">
              <w:rPr>
                <w:rFonts w:eastAsia="Times New Roman"/>
                <w:sz w:val="20"/>
                <w:szCs w:val="20"/>
                <w:lang w:eastAsia="en-GB"/>
              </w:rPr>
              <w:t xml:space="preserve">Additional CET1 SREP requirements (%) </w:t>
            </w:r>
          </w:p>
        </w:tc>
        <w:tc>
          <w:tcPr>
            <w:tcW w:w="1662" w:type="dxa"/>
            <w:tcBorders>
              <w:top w:val="nil"/>
              <w:left w:val="nil"/>
              <w:bottom w:val="single" w:sz="4" w:space="0" w:color="auto"/>
              <w:right w:val="single" w:sz="4" w:space="0" w:color="auto"/>
            </w:tcBorders>
            <w:shd w:val="clear" w:color="auto" w:fill="auto"/>
            <w:vAlign w:val="center"/>
          </w:tcPr>
          <w:p w14:paraId="322F6FBD" w14:textId="699EAF0D" w:rsidR="006E523C" w:rsidRPr="00CD11DE" w:rsidRDefault="00173B0E" w:rsidP="006E523C">
            <w:pPr>
              <w:keepLines w:val="0"/>
              <w:spacing w:after="0" w:line="240" w:lineRule="auto"/>
              <w:jc w:val="right"/>
              <w:rPr>
                <w:rFonts w:eastAsia="Times New Roman"/>
                <w:sz w:val="20"/>
                <w:szCs w:val="20"/>
                <w:lang w:eastAsia="en-GB"/>
              </w:rPr>
            </w:pPr>
            <w:r>
              <w:rPr>
                <w:rFonts w:eastAsia="Times New Roman"/>
                <w:sz w:val="20"/>
                <w:szCs w:val="20"/>
                <w:lang w:eastAsia="en-GB"/>
              </w:rPr>
              <w:t>1.80%</w:t>
            </w:r>
          </w:p>
        </w:tc>
        <w:tc>
          <w:tcPr>
            <w:tcW w:w="1662" w:type="dxa"/>
            <w:tcBorders>
              <w:top w:val="nil"/>
              <w:left w:val="nil"/>
              <w:bottom w:val="single" w:sz="4" w:space="0" w:color="auto"/>
              <w:right w:val="single" w:sz="4" w:space="0" w:color="auto"/>
            </w:tcBorders>
            <w:shd w:val="clear" w:color="auto" w:fill="auto"/>
            <w:vAlign w:val="center"/>
            <w:hideMark/>
          </w:tcPr>
          <w:p w14:paraId="60DE6D37" w14:textId="07AE6689"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1.80%</w:t>
            </w:r>
          </w:p>
        </w:tc>
      </w:tr>
      <w:tr w:rsidR="006E523C" w:rsidRPr="00CD11DE" w14:paraId="7B814D36" w14:textId="77777777" w:rsidTr="00B3548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FE52F73" w14:textId="77777777" w:rsidR="006E523C" w:rsidRPr="00CD11DE" w:rsidRDefault="006E523C" w:rsidP="006E523C">
            <w:pPr>
              <w:keepLines w:val="0"/>
              <w:spacing w:after="0" w:line="240" w:lineRule="auto"/>
              <w:jc w:val="center"/>
              <w:rPr>
                <w:rFonts w:eastAsia="Times New Roman"/>
                <w:sz w:val="20"/>
                <w:szCs w:val="20"/>
                <w:lang w:eastAsia="en-GB"/>
              </w:rPr>
            </w:pPr>
            <w:r w:rsidRPr="00CD11DE">
              <w:rPr>
                <w:rFonts w:eastAsia="Times New Roman"/>
                <w:sz w:val="20"/>
                <w:szCs w:val="20"/>
                <w:lang w:eastAsia="en-GB"/>
              </w:rPr>
              <w:t>UK 7d</w:t>
            </w:r>
          </w:p>
        </w:tc>
        <w:tc>
          <w:tcPr>
            <w:tcW w:w="9980" w:type="dxa"/>
            <w:tcBorders>
              <w:top w:val="nil"/>
              <w:left w:val="nil"/>
              <w:bottom w:val="single" w:sz="4" w:space="0" w:color="auto"/>
              <w:right w:val="single" w:sz="4" w:space="0" w:color="auto"/>
            </w:tcBorders>
            <w:shd w:val="clear" w:color="auto" w:fill="auto"/>
            <w:vAlign w:val="center"/>
            <w:hideMark/>
          </w:tcPr>
          <w:p w14:paraId="765A48AF" w14:textId="77777777" w:rsidR="006E523C" w:rsidRPr="00CD11DE" w:rsidRDefault="006E523C" w:rsidP="006E523C">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SREP own funds requirements (%)</w:t>
            </w:r>
          </w:p>
        </w:tc>
        <w:tc>
          <w:tcPr>
            <w:tcW w:w="1662" w:type="dxa"/>
            <w:tcBorders>
              <w:top w:val="nil"/>
              <w:left w:val="nil"/>
              <w:bottom w:val="single" w:sz="4" w:space="0" w:color="auto"/>
              <w:right w:val="single" w:sz="4" w:space="0" w:color="auto"/>
            </w:tcBorders>
            <w:shd w:val="clear" w:color="auto" w:fill="auto"/>
            <w:vAlign w:val="center"/>
          </w:tcPr>
          <w:p w14:paraId="00A34FB9" w14:textId="48A03CF5" w:rsidR="006E523C" w:rsidRPr="00CD11DE" w:rsidRDefault="00173B0E"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9.80%</w:t>
            </w:r>
          </w:p>
        </w:tc>
        <w:tc>
          <w:tcPr>
            <w:tcW w:w="1662" w:type="dxa"/>
            <w:tcBorders>
              <w:top w:val="nil"/>
              <w:left w:val="nil"/>
              <w:bottom w:val="single" w:sz="4" w:space="0" w:color="auto"/>
              <w:right w:val="single" w:sz="4" w:space="0" w:color="auto"/>
            </w:tcBorders>
            <w:shd w:val="clear" w:color="auto" w:fill="auto"/>
            <w:vAlign w:val="center"/>
            <w:hideMark/>
          </w:tcPr>
          <w:p w14:paraId="14362049" w14:textId="464F5CC5"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9.80%</w:t>
            </w:r>
          </w:p>
        </w:tc>
      </w:tr>
      <w:tr w:rsidR="00BB5BD3" w:rsidRPr="00CD11DE" w14:paraId="70E71E8B" w14:textId="77777777" w:rsidTr="006F3279">
        <w:trPr>
          <w:trHeight w:val="315"/>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2A7BFAE8"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71554FE6"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Combined buffer requirement (as a percentage of risk-weighted exposure amount)</w:t>
            </w:r>
          </w:p>
        </w:tc>
      </w:tr>
      <w:tr w:rsidR="006E523C" w:rsidRPr="00CD11DE" w14:paraId="511722F3"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D8B9B3A" w14:textId="77777777" w:rsidR="006E523C" w:rsidRPr="00CD11DE" w:rsidRDefault="006E523C" w:rsidP="006E523C">
            <w:pPr>
              <w:keepLines w:val="0"/>
              <w:spacing w:after="0" w:line="240" w:lineRule="auto"/>
              <w:jc w:val="center"/>
              <w:rPr>
                <w:rFonts w:eastAsia="Times New Roman"/>
                <w:sz w:val="20"/>
                <w:szCs w:val="20"/>
                <w:lang w:eastAsia="en-GB"/>
              </w:rPr>
            </w:pPr>
            <w:r w:rsidRPr="00CD11DE">
              <w:rPr>
                <w:rFonts w:eastAsia="Times New Roman"/>
                <w:sz w:val="20"/>
                <w:szCs w:val="20"/>
                <w:lang w:eastAsia="en-GB"/>
              </w:rPr>
              <w:t>8</w:t>
            </w:r>
          </w:p>
        </w:tc>
        <w:tc>
          <w:tcPr>
            <w:tcW w:w="9980" w:type="dxa"/>
            <w:tcBorders>
              <w:top w:val="nil"/>
              <w:left w:val="nil"/>
              <w:bottom w:val="single" w:sz="4" w:space="0" w:color="auto"/>
              <w:right w:val="single" w:sz="4" w:space="0" w:color="auto"/>
            </w:tcBorders>
            <w:shd w:val="clear" w:color="auto" w:fill="auto"/>
            <w:vAlign w:val="center"/>
            <w:hideMark/>
          </w:tcPr>
          <w:p w14:paraId="1FCEED18" w14:textId="77777777" w:rsidR="006E523C" w:rsidRPr="00CD11DE" w:rsidRDefault="006E523C" w:rsidP="006E523C">
            <w:pPr>
              <w:keepLines w:val="0"/>
              <w:spacing w:after="0" w:line="240" w:lineRule="auto"/>
              <w:jc w:val="left"/>
              <w:rPr>
                <w:rFonts w:eastAsia="Times New Roman"/>
                <w:sz w:val="20"/>
                <w:szCs w:val="20"/>
                <w:lang w:eastAsia="en-GB"/>
              </w:rPr>
            </w:pPr>
            <w:r w:rsidRPr="00CD11DE">
              <w:rPr>
                <w:rFonts w:eastAsia="Times New Roman"/>
                <w:sz w:val="20"/>
                <w:szCs w:val="20"/>
                <w:lang w:eastAsia="en-GB"/>
              </w:rPr>
              <w:t>Capital conservation buffer (%)</w:t>
            </w:r>
          </w:p>
        </w:tc>
        <w:tc>
          <w:tcPr>
            <w:tcW w:w="1662" w:type="dxa"/>
            <w:tcBorders>
              <w:top w:val="nil"/>
              <w:left w:val="nil"/>
              <w:bottom w:val="single" w:sz="4" w:space="0" w:color="auto"/>
              <w:right w:val="single" w:sz="4" w:space="0" w:color="auto"/>
            </w:tcBorders>
            <w:shd w:val="clear" w:color="auto" w:fill="auto"/>
            <w:vAlign w:val="center"/>
          </w:tcPr>
          <w:p w14:paraId="606A7048" w14:textId="6DA6BC44" w:rsidR="006E523C" w:rsidRPr="00BE4AEA" w:rsidRDefault="00173B0E" w:rsidP="00BE4AEA">
            <w:pPr>
              <w:keepLines w:val="0"/>
              <w:spacing w:after="0" w:line="240" w:lineRule="auto"/>
              <w:jc w:val="right"/>
              <w:rPr>
                <w:rFonts w:eastAsia="Times New Roman"/>
                <w:sz w:val="20"/>
                <w:szCs w:val="20"/>
                <w:lang w:eastAsia="en-GB"/>
              </w:rPr>
            </w:pPr>
            <w:r w:rsidRPr="00BE4AEA">
              <w:rPr>
                <w:rFonts w:eastAsia="Times New Roman"/>
                <w:sz w:val="20"/>
                <w:szCs w:val="20"/>
                <w:lang w:eastAsia="en-GB"/>
              </w:rPr>
              <w:t>2.50%</w:t>
            </w:r>
          </w:p>
        </w:tc>
        <w:tc>
          <w:tcPr>
            <w:tcW w:w="1662" w:type="dxa"/>
            <w:tcBorders>
              <w:top w:val="nil"/>
              <w:left w:val="nil"/>
              <w:bottom w:val="single" w:sz="4" w:space="0" w:color="auto"/>
              <w:right w:val="single" w:sz="4" w:space="0" w:color="auto"/>
            </w:tcBorders>
            <w:shd w:val="clear" w:color="auto" w:fill="auto"/>
            <w:vAlign w:val="center"/>
            <w:hideMark/>
          </w:tcPr>
          <w:p w14:paraId="6E626DB1" w14:textId="30918094"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2.50%</w:t>
            </w:r>
          </w:p>
        </w:tc>
      </w:tr>
      <w:tr w:rsidR="006E523C" w:rsidRPr="00CD11DE" w14:paraId="1AFADE66"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0D3B5DA" w14:textId="77777777" w:rsidR="006E523C" w:rsidRPr="00CD11DE" w:rsidRDefault="006E523C" w:rsidP="006E523C">
            <w:pPr>
              <w:keepLines w:val="0"/>
              <w:spacing w:after="0" w:line="240" w:lineRule="auto"/>
              <w:jc w:val="center"/>
              <w:rPr>
                <w:rFonts w:eastAsia="Times New Roman"/>
                <w:sz w:val="20"/>
                <w:szCs w:val="20"/>
                <w:lang w:eastAsia="en-GB"/>
              </w:rPr>
            </w:pPr>
            <w:r w:rsidRPr="00CD11DE">
              <w:rPr>
                <w:rFonts w:eastAsia="Times New Roman"/>
                <w:sz w:val="20"/>
                <w:szCs w:val="20"/>
                <w:lang w:eastAsia="en-GB"/>
              </w:rPr>
              <w:t>9</w:t>
            </w:r>
          </w:p>
        </w:tc>
        <w:tc>
          <w:tcPr>
            <w:tcW w:w="9980" w:type="dxa"/>
            <w:tcBorders>
              <w:top w:val="nil"/>
              <w:left w:val="nil"/>
              <w:bottom w:val="single" w:sz="4" w:space="0" w:color="auto"/>
              <w:right w:val="single" w:sz="4" w:space="0" w:color="auto"/>
            </w:tcBorders>
            <w:shd w:val="clear" w:color="auto" w:fill="auto"/>
            <w:vAlign w:val="center"/>
            <w:hideMark/>
          </w:tcPr>
          <w:p w14:paraId="04F4649C" w14:textId="77777777" w:rsidR="006E523C" w:rsidRPr="00CD11DE" w:rsidRDefault="006E523C" w:rsidP="006E523C">
            <w:pPr>
              <w:keepLines w:val="0"/>
              <w:spacing w:after="0" w:line="240" w:lineRule="auto"/>
              <w:jc w:val="left"/>
              <w:rPr>
                <w:rFonts w:eastAsia="Times New Roman"/>
                <w:sz w:val="20"/>
                <w:szCs w:val="20"/>
                <w:lang w:eastAsia="en-GB"/>
              </w:rPr>
            </w:pPr>
            <w:r w:rsidRPr="00CD11DE">
              <w:rPr>
                <w:rFonts w:eastAsia="Times New Roman"/>
                <w:sz w:val="20"/>
                <w:szCs w:val="20"/>
                <w:lang w:eastAsia="en-GB"/>
              </w:rPr>
              <w:t>Institution specific countercyclical capital buffer (%)</w:t>
            </w:r>
          </w:p>
        </w:tc>
        <w:tc>
          <w:tcPr>
            <w:tcW w:w="1662" w:type="dxa"/>
            <w:tcBorders>
              <w:top w:val="nil"/>
              <w:left w:val="nil"/>
              <w:bottom w:val="single" w:sz="4" w:space="0" w:color="auto"/>
              <w:right w:val="single" w:sz="4" w:space="0" w:color="auto"/>
            </w:tcBorders>
            <w:shd w:val="clear" w:color="auto" w:fill="auto"/>
            <w:vAlign w:val="center"/>
          </w:tcPr>
          <w:p w14:paraId="2EC46441" w14:textId="58FE7B9D" w:rsidR="006E523C" w:rsidRPr="00BE4AEA" w:rsidRDefault="00173B0E" w:rsidP="00BE4AEA">
            <w:pPr>
              <w:keepLines w:val="0"/>
              <w:spacing w:after="0" w:line="240" w:lineRule="auto"/>
              <w:jc w:val="right"/>
              <w:rPr>
                <w:rFonts w:eastAsia="Times New Roman"/>
                <w:sz w:val="20"/>
                <w:szCs w:val="20"/>
                <w:lang w:eastAsia="en-GB"/>
              </w:rPr>
            </w:pPr>
            <w:r w:rsidRPr="00BE4AEA">
              <w:rPr>
                <w:rFonts w:eastAsia="Times New Roman"/>
                <w:sz w:val="20"/>
                <w:szCs w:val="20"/>
                <w:lang w:eastAsia="en-GB"/>
              </w:rPr>
              <w:t>1.25%</w:t>
            </w:r>
          </w:p>
        </w:tc>
        <w:tc>
          <w:tcPr>
            <w:tcW w:w="1662" w:type="dxa"/>
            <w:tcBorders>
              <w:top w:val="nil"/>
              <w:left w:val="nil"/>
              <w:bottom w:val="single" w:sz="4" w:space="0" w:color="auto"/>
              <w:right w:val="single" w:sz="4" w:space="0" w:color="auto"/>
            </w:tcBorders>
            <w:shd w:val="clear" w:color="auto" w:fill="auto"/>
            <w:vAlign w:val="center"/>
            <w:hideMark/>
          </w:tcPr>
          <w:p w14:paraId="3F46D234" w14:textId="35D92BAC"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1.33%</w:t>
            </w:r>
          </w:p>
        </w:tc>
      </w:tr>
      <w:tr w:rsidR="00173B0E" w:rsidRPr="00CD11DE" w14:paraId="152D1E76"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50FF688"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11</w:t>
            </w:r>
          </w:p>
        </w:tc>
        <w:tc>
          <w:tcPr>
            <w:tcW w:w="9980" w:type="dxa"/>
            <w:tcBorders>
              <w:top w:val="nil"/>
              <w:left w:val="nil"/>
              <w:bottom w:val="single" w:sz="4" w:space="0" w:color="auto"/>
              <w:right w:val="single" w:sz="4" w:space="0" w:color="auto"/>
            </w:tcBorders>
            <w:shd w:val="clear" w:color="auto" w:fill="auto"/>
            <w:vAlign w:val="center"/>
            <w:hideMark/>
          </w:tcPr>
          <w:p w14:paraId="6071AFA6"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Combined buffer requirement (%)</w:t>
            </w:r>
          </w:p>
        </w:tc>
        <w:tc>
          <w:tcPr>
            <w:tcW w:w="1662" w:type="dxa"/>
            <w:tcBorders>
              <w:top w:val="nil"/>
              <w:left w:val="nil"/>
              <w:bottom w:val="single" w:sz="4" w:space="0" w:color="auto"/>
              <w:right w:val="single" w:sz="4" w:space="0" w:color="auto"/>
            </w:tcBorders>
            <w:shd w:val="clear" w:color="auto" w:fill="auto"/>
            <w:vAlign w:val="center"/>
          </w:tcPr>
          <w:p w14:paraId="046C50E5" w14:textId="676D4611"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3.75%</w:t>
            </w:r>
          </w:p>
        </w:tc>
        <w:tc>
          <w:tcPr>
            <w:tcW w:w="1662" w:type="dxa"/>
            <w:tcBorders>
              <w:top w:val="nil"/>
              <w:left w:val="nil"/>
              <w:bottom w:val="single" w:sz="4" w:space="0" w:color="auto"/>
              <w:right w:val="single" w:sz="4" w:space="0" w:color="auto"/>
            </w:tcBorders>
            <w:shd w:val="clear" w:color="auto" w:fill="auto"/>
            <w:vAlign w:val="center"/>
            <w:hideMark/>
          </w:tcPr>
          <w:p w14:paraId="4A680FA6" w14:textId="6625D92F"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3.83%</w:t>
            </w:r>
          </w:p>
        </w:tc>
      </w:tr>
      <w:tr w:rsidR="00173B0E" w:rsidRPr="00CD11DE" w14:paraId="39771C7D"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EF64F75"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UK 11a</w:t>
            </w:r>
          </w:p>
        </w:tc>
        <w:tc>
          <w:tcPr>
            <w:tcW w:w="9980" w:type="dxa"/>
            <w:tcBorders>
              <w:top w:val="nil"/>
              <w:left w:val="nil"/>
              <w:bottom w:val="single" w:sz="4" w:space="0" w:color="auto"/>
              <w:right w:val="single" w:sz="4" w:space="0" w:color="auto"/>
            </w:tcBorders>
            <w:shd w:val="clear" w:color="auto" w:fill="auto"/>
            <w:vAlign w:val="center"/>
            <w:hideMark/>
          </w:tcPr>
          <w:p w14:paraId="4A533D5B"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Overall capital requirements (%)</w:t>
            </w:r>
          </w:p>
        </w:tc>
        <w:tc>
          <w:tcPr>
            <w:tcW w:w="1662" w:type="dxa"/>
            <w:tcBorders>
              <w:top w:val="nil"/>
              <w:left w:val="nil"/>
              <w:bottom w:val="single" w:sz="4" w:space="0" w:color="auto"/>
              <w:right w:val="single" w:sz="4" w:space="0" w:color="auto"/>
            </w:tcBorders>
            <w:shd w:val="clear" w:color="auto" w:fill="auto"/>
            <w:vAlign w:val="center"/>
          </w:tcPr>
          <w:p w14:paraId="76659DA7" w14:textId="5509C633"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13.55%</w:t>
            </w:r>
          </w:p>
        </w:tc>
        <w:tc>
          <w:tcPr>
            <w:tcW w:w="1662" w:type="dxa"/>
            <w:tcBorders>
              <w:top w:val="nil"/>
              <w:left w:val="nil"/>
              <w:bottom w:val="single" w:sz="4" w:space="0" w:color="auto"/>
              <w:right w:val="single" w:sz="4" w:space="0" w:color="auto"/>
            </w:tcBorders>
            <w:shd w:val="clear" w:color="auto" w:fill="auto"/>
            <w:vAlign w:val="center"/>
            <w:hideMark/>
          </w:tcPr>
          <w:p w14:paraId="335E0874" w14:textId="73058278"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13.63%</w:t>
            </w:r>
          </w:p>
        </w:tc>
      </w:tr>
      <w:tr w:rsidR="00173B0E" w:rsidRPr="00CD11DE" w14:paraId="76BC75BB"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98CB2CA" w14:textId="77777777" w:rsidR="00173B0E" w:rsidRPr="00CD11DE" w:rsidRDefault="00173B0E" w:rsidP="00173B0E">
            <w:pPr>
              <w:keepLines w:val="0"/>
              <w:spacing w:after="0" w:line="240" w:lineRule="auto"/>
              <w:jc w:val="center"/>
              <w:rPr>
                <w:rFonts w:eastAsia="Times New Roman"/>
                <w:sz w:val="20"/>
                <w:szCs w:val="20"/>
                <w:lang w:eastAsia="en-GB"/>
              </w:rPr>
            </w:pPr>
            <w:r w:rsidRPr="00CD11DE">
              <w:rPr>
                <w:rFonts w:eastAsia="Times New Roman"/>
                <w:sz w:val="20"/>
                <w:szCs w:val="20"/>
                <w:lang w:eastAsia="en-GB"/>
              </w:rPr>
              <w:t>12</w:t>
            </w:r>
          </w:p>
        </w:tc>
        <w:tc>
          <w:tcPr>
            <w:tcW w:w="9980" w:type="dxa"/>
            <w:tcBorders>
              <w:top w:val="nil"/>
              <w:left w:val="nil"/>
              <w:bottom w:val="single" w:sz="4" w:space="0" w:color="auto"/>
              <w:right w:val="single" w:sz="4" w:space="0" w:color="auto"/>
            </w:tcBorders>
            <w:shd w:val="clear" w:color="auto" w:fill="auto"/>
            <w:vAlign w:val="center"/>
            <w:hideMark/>
          </w:tcPr>
          <w:p w14:paraId="15B3BEE2" w14:textId="298B9688"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CET1 available after meeting the total SREP own funds requirements (%)</w:t>
            </w:r>
          </w:p>
        </w:tc>
        <w:tc>
          <w:tcPr>
            <w:tcW w:w="1662" w:type="dxa"/>
            <w:tcBorders>
              <w:top w:val="nil"/>
              <w:left w:val="nil"/>
              <w:bottom w:val="single" w:sz="4" w:space="0" w:color="auto"/>
              <w:right w:val="single" w:sz="4" w:space="0" w:color="auto"/>
            </w:tcBorders>
            <w:shd w:val="clear" w:color="auto" w:fill="auto"/>
            <w:vAlign w:val="center"/>
          </w:tcPr>
          <w:p w14:paraId="2BAEB33A" w14:textId="695E0E7F" w:rsidR="00173B0E" w:rsidRPr="00BE4AEA" w:rsidRDefault="00173B0E" w:rsidP="00BE4AEA">
            <w:pPr>
              <w:keepLines w:val="0"/>
              <w:spacing w:after="0" w:line="240" w:lineRule="auto"/>
              <w:jc w:val="right"/>
              <w:rPr>
                <w:rFonts w:eastAsia="Times New Roman"/>
                <w:sz w:val="20"/>
                <w:szCs w:val="20"/>
                <w:lang w:eastAsia="en-GB"/>
              </w:rPr>
            </w:pPr>
            <w:r w:rsidRPr="007E0530">
              <w:rPr>
                <w:sz w:val="20"/>
                <w:szCs w:val="20"/>
              </w:rPr>
              <w:t>3</w:t>
            </w:r>
            <w:r w:rsidR="00F20ADF">
              <w:rPr>
                <w:sz w:val="20"/>
                <w:szCs w:val="20"/>
              </w:rPr>
              <w:t>8</w:t>
            </w:r>
            <w:r w:rsidRPr="007E0530">
              <w:rPr>
                <w:sz w:val="20"/>
                <w:szCs w:val="20"/>
              </w:rPr>
              <w:t>%</w:t>
            </w:r>
          </w:p>
        </w:tc>
        <w:tc>
          <w:tcPr>
            <w:tcW w:w="1662" w:type="dxa"/>
            <w:tcBorders>
              <w:top w:val="nil"/>
              <w:left w:val="nil"/>
              <w:bottom w:val="single" w:sz="4" w:space="0" w:color="auto"/>
              <w:right w:val="single" w:sz="4" w:space="0" w:color="auto"/>
            </w:tcBorders>
            <w:shd w:val="clear" w:color="auto" w:fill="auto"/>
            <w:vAlign w:val="center"/>
            <w:hideMark/>
          </w:tcPr>
          <w:p w14:paraId="681E8AB7" w14:textId="585F151F"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44%</w:t>
            </w:r>
          </w:p>
        </w:tc>
      </w:tr>
      <w:tr w:rsidR="00BB5BD3" w:rsidRPr="00CD11DE" w14:paraId="7B50495D" w14:textId="77777777" w:rsidTr="006F3279">
        <w:trPr>
          <w:trHeight w:val="300"/>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36FD6C50"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lastRenderedPageBreak/>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333109C3" w14:textId="77777777" w:rsidR="00BB5BD3" w:rsidRPr="00CD11DE" w:rsidRDefault="00BB5BD3" w:rsidP="00BB5BD3">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Leverage ratio</w:t>
            </w:r>
          </w:p>
        </w:tc>
      </w:tr>
      <w:tr w:rsidR="00173B0E" w:rsidRPr="00CD11DE" w14:paraId="4FA09252"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21B7895"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13</w:t>
            </w:r>
          </w:p>
        </w:tc>
        <w:tc>
          <w:tcPr>
            <w:tcW w:w="9980" w:type="dxa"/>
            <w:tcBorders>
              <w:top w:val="nil"/>
              <w:left w:val="nil"/>
              <w:bottom w:val="single" w:sz="4" w:space="0" w:color="auto"/>
              <w:right w:val="single" w:sz="4" w:space="0" w:color="auto"/>
            </w:tcBorders>
            <w:shd w:val="clear" w:color="auto" w:fill="auto"/>
            <w:vAlign w:val="center"/>
            <w:hideMark/>
          </w:tcPr>
          <w:p w14:paraId="02EDD974" w14:textId="77777777" w:rsidR="00173B0E" w:rsidRPr="00CD11DE" w:rsidRDefault="00173B0E" w:rsidP="00173B0E">
            <w:pPr>
              <w:keepLines w:val="0"/>
              <w:spacing w:after="0" w:line="240" w:lineRule="auto"/>
              <w:jc w:val="left"/>
              <w:rPr>
                <w:rFonts w:eastAsia="Times New Roman"/>
                <w:color w:val="auto"/>
                <w:sz w:val="20"/>
                <w:szCs w:val="20"/>
                <w:lang w:eastAsia="en-GB"/>
              </w:rPr>
            </w:pPr>
            <w:r w:rsidRPr="00CD11DE">
              <w:rPr>
                <w:rFonts w:eastAsia="Times New Roman"/>
                <w:color w:val="auto"/>
                <w:sz w:val="20"/>
                <w:szCs w:val="20"/>
                <w:lang w:eastAsia="en-GB"/>
              </w:rPr>
              <w:t>Total exposure measure excluding claims on central banks</w:t>
            </w:r>
          </w:p>
        </w:tc>
        <w:tc>
          <w:tcPr>
            <w:tcW w:w="1662" w:type="dxa"/>
            <w:tcBorders>
              <w:top w:val="nil"/>
              <w:left w:val="nil"/>
              <w:bottom w:val="single" w:sz="4" w:space="0" w:color="auto"/>
              <w:right w:val="single" w:sz="4" w:space="0" w:color="auto"/>
            </w:tcBorders>
            <w:shd w:val="clear" w:color="auto" w:fill="auto"/>
            <w:vAlign w:val="center"/>
          </w:tcPr>
          <w:p w14:paraId="79BBEB23" w14:textId="4BFDB9A1" w:rsidR="00173B0E" w:rsidRPr="00D15B08" w:rsidRDefault="00173B0E" w:rsidP="00D15B08">
            <w:pPr>
              <w:keepLines w:val="0"/>
              <w:spacing w:after="0" w:line="240" w:lineRule="auto"/>
              <w:jc w:val="right"/>
              <w:rPr>
                <w:rFonts w:eastAsia="Times New Roman"/>
                <w:sz w:val="20"/>
                <w:szCs w:val="20"/>
                <w:lang w:eastAsia="en-GB"/>
              </w:rPr>
            </w:pPr>
            <w:r w:rsidRPr="007E0530">
              <w:rPr>
                <w:sz w:val="20"/>
                <w:szCs w:val="20"/>
              </w:rPr>
              <w:t xml:space="preserve"> 2,7</w:t>
            </w:r>
            <w:r w:rsidR="00D15B08">
              <w:rPr>
                <w:sz w:val="20"/>
                <w:szCs w:val="20"/>
              </w:rPr>
              <w:t>58.0</w:t>
            </w:r>
            <w:r w:rsidRPr="007E0530">
              <w:rPr>
                <w:sz w:val="20"/>
                <w:szCs w:val="20"/>
              </w:rPr>
              <w:t xml:space="preserve"> </w:t>
            </w:r>
          </w:p>
        </w:tc>
        <w:tc>
          <w:tcPr>
            <w:tcW w:w="1662" w:type="dxa"/>
            <w:tcBorders>
              <w:top w:val="nil"/>
              <w:left w:val="nil"/>
              <w:bottom w:val="single" w:sz="4" w:space="0" w:color="auto"/>
              <w:right w:val="single" w:sz="4" w:space="0" w:color="auto"/>
            </w:tcBorders>
            <w:shd w:val="clear" w:color="auto" w:fill="auto"/>
            <w:vAlign w:val="center"/>
            <w:hideMark/>
          </w:tcPr>
          <w:p w14:paraId="3938A02B" w14:textId="5FC7425C"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2,399.4</w:t>
            </w:r>
          </w:p>
        </w:tc>
      </w:tr>
      <w:tr w:rsidR="00173B0E" w:rsidRPr="00CD11DE" w14:paraId="50D1251B"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8E6EA66"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14</w:t>
            </w:r>
          </w:p>
        </w:tc>
        <w:tc>
          <w:tcPr>
            <w:tcW w:w="9980" w:type="dxa"/>
            <w:tcBorders>
              <w:top w:val="nil"/>
              <w:left w:val="nil"/>
              <w:bottom w:val="single" w:sz="4" w:space="0" w:color="auto"/>
              <w:right w:val="single" w:sz="4" w:space="0" w:color="auto"/>
            </w:tcBorders>
            <w:shd w:val="clear" w:color="auto" w:fill="auto"/>
            <w:vAlign w:val="center"/>
            <w:hideMark/>
          </w:tcPr>
          <w:p w14:paraId="7DBB4BB4" w14:textId="77777777" w:rsidR="00173B0E" w:rsidRPr="00CD11DE" w:rsidRDefault="00173B0E" w:rsidP="00173B0E">
            <w:pPr>
              <w:keepLines w:val="0"/>
              <w:spacing w:after="0" w:line="240" w:lineRule="auto"/>
              <w:jc w:val="left"/>
              <w:rPr>
                <w:rFonts w:eastAsia="Times New Roman"/>
                <w:color w:val="auto"/>
                <w:sz w:val="20"/>
                <w:szCs w:val="20"/>
                <w:lang w:eastAsia="en-GB"/>
              </w:rPr>
            </w:pPr>
            <w:r w:rsidRPr="00CD11DE">
              <w:rPr>
                <w:rFonts w:eastAsia="Times New Roman"/>
                <w:color w:val="auto"/>
                <w:sz w:val="20"/>
                <w:szCs w:val="20"/>
                <w:lang w:eastAsia="en-GB"/>
              </w:rPr>
              <w:t>Leverage ratio excluding claims on central banks (%)</w:t>
            </w:r>
          </w:p>
        </w:tc>
        <w:tc>
          <w:tcPr>
            <w:tcW w:w="1662" w:type="dxa"/>
            <w:tcBorders>
              <w:top w:val="nil"/>
              <w:left w:val="nil"/>
              <w:bottom w:val="single" w:sz="4" w:space="0" w:color="auto"/>
              <w:right w:val="single" w:sz="4" w:space="0" w:color="auto"/>
            </w:tcBorders>
            <w:shd w:val="clear" w:color="auto" w:fill="auto"/>
            <w:vAlign w:val="center"/>
          </w:tcPr>
          <w:p w14:paraId="155433E0" w14:textId="7A499A56" w:rsidR="00173B0E" w:rsidRPr="00D15B08" w:rsidRDefault="00173B0E" w:rsidP="00D15B08">
            <w:pPr>
              <w:keepLines w:val="0"/>
              <w:spacing w:after="0" w:line="240" w:lineRule="auto"/>
              <w:jc w:val="right"/>
              <w:rPr>
                <w:rFonts w:eastAsia="Times New Roman"/>
                <w:color w:val="auto"/>
                <w:sz w:val="20"/>
                <w:szCs w:val="20"/>
                <w:lang w:eastAsia="en-GB"/>
              </w:rPr>
            </w:pPr>
            <w:r w:rsidRPr="007E0530">
              <w:rPr>
                <w:sz w:val="20"/>
                <w:szCs w:val="20"/>
              </w:rPr>
              <w:t>7.7%</w:t>
            </w:r>
          </w:p>
        </w:tc>
        <w:tc>
          <w:tcPr>
            <w:tcW w:w="1662" w:type="dxa"/>
            <w:tcBorders>
              <w:top w:val="nil"/>
              <w:left w:val="nil"/>
              <w:bottom w:val="single" w:sz="4" w:space="0" w:color="auto"/>
              <w:right w:val="single" w:sz="4" w:space="0" w:color="auto"/>
            </w:tcBorders>
            <w:shd w:val="clear" w:color="auto" w:fill="auto"/>
            <w:vAlign w:val="center"/>
            <w:hideMark/>
          </w:tcPr>
          <w:p w14:paraId="5A56D909" w14:textId="74B2CA0D" w:rsidR="00173B0E" w:rsidRPr="00CD11DE" w:rsidRDefault="00173B0E" w:rsidP="00173B0E">
            <w:pPr>
              <w:keepLines w:val="0"/>
              <w:spacing w:after="0" w:line="240" w:lineRule="auto"/>
              <w:jc w:val="right"/>
              <w:rPr>
                <w:rFonts w:eastAsia="Times New Roman"/>
                <w:color w:val="auto"/>
                <w:sz w:val="20"/>
                <w:szCs w:val="20"/>
                <w:lang w:eastAsia="en-GB"/>
              </w:rPr>
            </w:pPr>
            <w:r w:rsidRPr="00CD11DE">
              <w:rPr>
                <w:rFonts w:eastAsia="Times New Roman"/>
                <w:color w:val="auto"/>
                <w:sz w:val="20"/>
                <w:szCs w:val="20"/>
                <w:lang w:eastAsia="en-GB"/>
              </w:rPr>
              <w:t>7.8%</w:t>
            </w:r>
          </w:p>
        </w:tc>
      </w:tr>
      <w:tr w:rsidR="00BB5BD3" w:rsidRPr="00CD11DE" w14:paraId="3409829F" w14:textId="77777777" w:rsidTr="006F3279">
        <w:trPr>
          <w:trHeight w:val="300"/>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028959CC" w14:textId="77777777" w:rsidR="00BB5BD3" w:rsidRPr="00CD11DE" w:rsidRDefault="00BB5BD3" w:rsidP="00E6686D">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6A46AA8B" w14:textId="77777777" w:rsidR="00BB5BD3" w:rsidRPr="00CD11DE" w:rsidRDefault="00BB5BD3" w:rsidP="00E6686D">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Additional leverage ratio disclosure requirements</w:t>
            </w:r>
          </w:p>
        </w:tc>
      </w:tr>
      <w:tr w:rsidR="00BB5BD3" w:rsidRPr="00CD11DE" w14:paraId="3C2F0B30" w14:textId="77777777" w:rsidTr="006F3279">
        <w:trPr>
          <w:trHeight w:val="300"/>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6BE4DC5C" w14:textId="77777777" w:rsidR="00BB5BD3" w:rsidRPr="00CD11DE" w:rsidRDefault="00BB5BD3" w:rsidP="00E6686D">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45E6A404" w14:textId="77777777" w:rsidR="00BB5BD3" w:rsidRPr="00CD11DE" w:rsidRDefault="00BB5BD3" w:rsidP="00E6686D">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Liquidity Coverage Ratio</w:t>
            </w:r>
          </w:p>
        </w:tc>
      </w:tr>
      <w:tr w:rsidR="00173B0E" w:rsidRPr="00CD11DE" w14:paraId="4146CA77"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3CD1331"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15</w:t>
            </w:r>
          </w:p>
        </w:tc>
        <w:tc>
          <w:tcPr>
            <w:tcW w:w="9980" w:type="dxa"/>
            <w:tcBorders>
              <w:top w:val="nil"/>
              <w:left w:val="nil"/>
              <w:bottom w:val="single" w:sz="4" w:space="0" w:color="auto"/>
              <w:right w:val="single" w:sz="4" w:space="0" w:color="auto"/>
            </w:tcBorders>
            <w:shd w:val="clear" w:color="auto" w:fill="auto"/>
            <w:vAlign w:val="center"/>
            <w:hideMark/>
          </w:tcPr>
          <w:p w14:paraId="1D662814"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high-quality liquid assets (HQLA) (Weighted value -average)</w:t>
            </w:r>
          </w:p>
        </w:tc>
        <w:tc>
          <w:tcPr>
            <w:tcW w:w="1662" w:type="dxa"/>
            <w:tcBorders>
              <w:top w:val="nil"/>
              <w:left w:val="nil"/>
              <w:bottom w:val="single" w:sz="4" w:space="0" w:color="auto"/>
              <w:right w:val="single" w:sz="4" w:space="0" w:color="auto"/>
            </w:tcBorders>
            <w:shd w:val="clear" w:color="auto" w:fill="auto"/>
            <w:vAlign w:val="center"/>
          </w:tcPr>
          <w:p w14:paraId="731C42AE" w14:textId="09FE5BD2" w:rsidR="00173B0E" w:rsidRPr="00D15B08" w:rsidRDefault="00173B0E" w:rsidP="00D15B08">
            <w:pPr>
              <w:keepLines w:val="0"/>
              <w:spacing w:after="0" w:line="240" w:lineRule="auto"/>
              <w:jc w:val="right"/>
              <w:rPr>
                <w:rFonts w:eastAsia="Times New Roman"/>
                <w:sz w:val="20"/>
                <w:szCs w:val="20"/>
                <w:lang w:eastAsia="en-GB"/>
              </w:rPr>
            </w:pPr>
            <w:r w:rsidRPr="007E0530">
              <w:rPr>
                <w:sz w:val="20"/>
                <w:szCs w:val="20"/>
              </w:rPr>
              <w:t xml:space="preserve"> 229.7 </w:t>
            </w:r>
          </w:p>
        </w:tc>
        <w:tc>
          <w:tcPr>
            <w:tcW w:w="1662" w:type="dxa"/>
            <w:tcBorders>
              <w:top w:val="nil"/>
              <w:left w:val="nil"/>
              <w:bottom w:val="single" w:sz="4" w:space="0" w:color="auto"/>
              <w:right w:val="single" w:sz="4" w:space="0" w:color="auto"/>
            </w:tcBorders>
            <w:shd w:val="clear" w:color="auto" w:fill="auto"/>
            <w:vAlign w:val="center"/>
            <w:hideMark/>
          </w:tcPr>
          <w:p w14:paraId="1E370EFD" w14:textId="7E154DF1"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202.1</w:t>
            </w:r>
          </w:p>
        </w:tc>
      </w:tr>
      <w:tr w:rsidR="00173B0E" w:rsidRPr="00CD11DE" w14:paraId="62DF3AD7"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3D206CE" w14:textId="77777777" w:rsidR="00173B0E" w:rsidRPr="00CD11DE" w:rsidRDefault="00173B0E" w:rsidP="00173B0E">
            <w:pPr>
              <w:keepLines w:val="0"/>
              <w:spacing w:after="0" w:line="240" w:lineRule="auto"/>
              <w:jc w:val="left"/>
              <w:rPr>
                <w:rFonts w:eastAsia="Times New Roman"/>
                <w:color w:val="auto"/>
                <w:sz w:val="20"/>
                <w:szCs w:val="20"/>
                <w:lang w:eastAsia="en-GB"/>
              </w:rPr>
            </w:pPr>
            <w:r w:rsidRPr="00CD11DE">
              <w:rPr>
                <w:rFonts w:eastAsia="Times New Roman"/>
                <w:color w:val="auto"/>
                <w:sz w:val="20"/>
                <w:szCs w:val="20"/>
                <w:lang w:eastAsia="en-GB"/>
              </w:rPr>
              <w:t>UK 16a</w:t>
            </w:r>
          </w:p>
        </w:tc>
        <w:tc>
          <w:tcPr>
            <w:tcW w:w="9980" w:type="dxa"/>
            <w:tcBorders>
              <w:top w:val="nil"/>
              <w:left w:val="nil"/>
              <w:bottom w:val="single" w:sz="4" w:space="0" w:color="auto"/>
              <w:right w:val="single" w:sz="4" w:space="0" w:color="auto"/>
            </w:tcBorders>
            <w:shd w:val="clear" w:color="auto" w:fill="auto"/>
            <w:vAlign w:val="center"/>
            <w:hideMark/>
          </w:tcPr>
          <w:p w14:paraId="3B5BE2EE" w14:textId="77777777" w:rsidR="00173B0E" w:rsidRPr="00CD11DE" w:rsidRDefault="00173B0E" w:rsidP="00173B0E">
            <w:pPr>
              <w:keepLines w:val="0"/>
              <w:spacing w:after="0" w:line="240" w:lineRule="auto"/>
              <w:jc w:val="left"/>
              <w:rPr>
                <w:rFonts w:eastAsia="Times New Roman"/>
                <w:color w:val="auto"/>
                <w:sz w:val="20"/>
                <w:szCs w:val="20"/>
                <w:lang w:eastAsia="en-GB"/>
              </w:rPr>
            </w:pPr>
            <w:r w:rsidRPr="00CD11DE">
              <w:rPr>
                <w:rFonts w:eastAsia="Times New Roman"/>
                <w:color w:val="auto"/>
                <w:sz w:val="20"/>
                <w:szCs w:val="20"/>
                <w:lang w:eastAsia="en-GB"/>
              </w:rPr>
              <w:t xml:space="preserve">Cash outflows - Total weighted value </w:t>
            </w:r>
          </w:p>
        </w:tc>
        <w:tc>
          <w:tcPr>
            <w:tcW w:w="1662" w:type="dxa"/>
            <w:tcBorders>
              <w:top w:val="nil"/>
              <w:left w:val="nil"/>
              <w:bottom w:val="single" w:sz="4" w:space="0" w:color="auto"/>
              <w:right w:val="single" w:sz="4" w:space="0" w:color="auto"/>
            </w:tcBorders>
            <w:shd w:val="clear" w:color="auto" w:fill="auto"/>
            <w:vAlign w:val="center"/>
          </w:tcPr>
          <w:p w14:paraId="4F1D92FC" w14:textId="125C21C5" w:rsidR="00173B0E" w:rsidRPr="00D15B08" w:rsidRDefault="00173B0E" w:rsidP="00D15B08">
            <w:pPr>
              <w:keepLines w:val="0"/>
              <w:spacing w:after="0" w:line="240" w:lineRule="auto"/>
              <w:jc w:val="right"/>
              <w:rPr>
                <w:rFonts w:eastAsia="Times New Roman"/>
                <w:sz w:val="20"/>
                <w:szCs w:val="20"/>
                <w:lang w:eastAsia="en-GB"/>
              </w:rPr>
            </w:pPr>
            <w:r w:rsidRPr="007E0530">
              <w:rPr>
                <w:sz w:val="20"/>
                <w:szCs w:val="20"/>
              </w:rPr>
              <w:t xml:space="preserve"> 198.3 </w:t>
            </w:r>
          </w:p>
        </w:tc>
        <w:tc>
          <w:tcPr>
            <w:tcW w:w="1662" w:type="dxa"/>
            <w:tcBorders>
              <w:top w:val="nil"/>
              <w:left w:val="nil"/>
              <w:bottom w:val="single" w:sz="4" w:space="0" w:color="auto"/>
              <w:right w:val="single" w:sz="4" w:space="0" w:color="auto"/>
            </w:tcBorders>
            <w:shd w:val="clear" w:color="auto" w:fill="auto"/>
            <w:vAlign w:val="center"/>
            <w:hideMark/>
          </w:tcPr>
          <w:p w14:paraId="3C9CB52C" w14:textId="738848EC"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132.4</w:t>
            </w:r>
          </w:p>
        </w:tc>
      </w:tr>
      <w:tr w:rsidR="00173B0E" w:rsidRPr="00CD11DE" w14:paraId="3078ED56"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8E12C7D" w14:textId="77777777" w:rsidR="00173B0E" w:rsidRPr="00CD11DE" w:rsidRDefault="00173B0E" w:rsidP="00173B0E">
            <w:pPr>
              <w:keepLines w:val="0"/>
              <w:spacing w:after="0" w:line="240" w:lineRule="auto"/>
              <w:jc w:val="left"/>
              <w:rPr>
                <w:rFonts w:eastAsia="Times New Roman"/>
                <w:color w:val="auto"/>
                <w:sz w:val="20"/>
                <w:szCs w:val="20"/>
                <w:lang w:eastAsia="en-GB"/>
              </w:rPr>
            </w:pPr>
            <w:r w:rsidRPr="00CD11DE">
              <w:rPr>
                <w:rFonts w:eastAsia="Times New Roman"/>
                <w:color w:val="auto"/>
                <w:sz w:val="20"/>
                <w:szCs w:val="20"/>
                <w:lang w:eastAsia="en-GB"/>
              </w:rPr>
              <w:t>UK 16b</w:t>
            </w:r>
          </w:p>
        </w:tc>
        <w:tc>
          <w:tcPr>
            <w:tcW w:w="9980" w:type="dxa"/>
            <w:tcBorders>
              <w:top w:val="nil"/>
              <w:left w:val="nil"/>
              <w:bottom w:val="single" w:sz="4" w:space="0" w:color="auto"/>
              <w:right w:val="single" w:sz="4" w:space="0" w:color="auto"/>
            </w:tcBorders>
            <w:shd w:val="clear" w:color="auto" w:fill="auto"/>
            <w:vAlign w:val="center"/>
            <w:hideMark/>
          </w:tcPr>
          <w:p w14:paraId="61747DD7" w14:textId="77777777" w:rsidR="00173B0E" w:rsidRPr="00CD11DE" w:rsidRDefault="00173B0E" w:rsidP="00173B0E">
            <w:pPr>
              <w:keepLines w:val="0"/>
              <w:spacing w:after="0" w:line="240" w:lineRule="auto"/>
              <w:jc w:val="left"/>
              <w:rPr>
                <w:rFonts w:eastAsia="Times New Roman"/>
                <w:color w:val="auto"/>
                <w:sz w:val="20"/>
                <w:szCs w:val="20"/>
                <w:lang w:eastAsia="en-GB"/>
              </w:rPr>
            </w:pPr>
            <w:r w:rsidRPr="00CD11DE">
              <w:rPr>
                <w:rFonts w:eastAsia="Times New Roman"/>
                <w:color w:val="auto"/>
                <w:sz w:val="20"/>
                <w:szCs w:val="20"/>
                <w:lang w:eastAsia="en-GB"/>
              </w:rPr>
              <w:t xml:space="preserve">Cash inflows - Total weighted value </w:t>
            </w:r>
          </w:p>
        </w:tc>
        <w:tc>
          <w:tcPr>
            <w:tcW w:w="1662" w:type="dxa"/>
            <w:tcBorders>
              <w:top w:val="nil"/>
              <w:left w:val="nil"/>
              <w:bottom w:val="single" w:sz="4" w:space="0" w:color="auto"/>
              <w:right w:val="single" w:sz="4" w:space="0" w:color="auto"/>
            </w:tcBorders>
            <w:shd w:val="clear" w:color="auto" w:fill="auto"/>
            <w:vAlign w:val="center"/>
          </w:tcPr>
          <w:p w14:paraId="4D0C976B" w14:textId="4E627514" w:rsidR="00173B0E" w:rsidRPr="00D15B08" w:rsidRDefault="00173B0E" w:rsidP="00D15B08">
            <w:pPr>
              <w:keepLines w:val="0"/>
              <w:spacing w:after="0" w:line="240" w:lineRule="auto"/>
              <w:jc w:val="right"/>
              <w:rPr>
                <w:rFonts w:eastAsia="Times New Roman"/>
                <w:sz w:val="20"/>
                <w:szCs w:val="20"/>
                <w:lang w:eastAsia="en-GB"/>
              </w:rPr>
            </w:pPr>
            <w:r w:rsidRPr="007E0530">
              <w:rPr>
                <w:sz w:val="20"/>
                <w:szCs w:val="20"/>
              </w:rPr>
              <w:t xml:space="preserve"> 344.0 </w:t>
            </w:r>
          </w:p>
        </w:tc>
        <w:tc>
          <w:tcPr>
            <w:tcW w:w="1662" w:type="dxa"/>
            <w:tcBorders>
              <w:top w:val="nil"/>
              <w:left w:val="nil"/>
              <w:bottom w:val="single" w:sz="4" w:space="0" w:color="auto"/>
              <w:right w:val="single" w:sz="4" w:space="0" w:color="auto"/>
            </w:tcBorders>
            <w:shd w:val="clear" w:color="auto" w:fill="auto"/>
            <w:vAlign w:val="center"/>
            <w:hideMark/>
          </w:tcPr>
          <w:p w14:paraId="7719B670" w14:textId="3232571C"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 xml:space="preserve"> 266.6 </w:t>
            </w:r>
          </w:p>
        </w:tc>
      </w:tr>
      <w:tr w:rsidR="00173B0E" w:rsidRPr="00CD11DE" w14:paraId="32CF5747"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2A35BF74"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16</w:t>
            </w:r>
          </w:p>
        </w:tc>
        <w:tc>
          <w:tcPr>
            <w:tcW w:w="9980" w:type="dxa"/>
            <w:tcBorders>
              <w:top w:val="nil"/>
              <w:left w:val="nil"/>
              <w:bottom w:val="single" w:sz="4" w:space="0" w:color="auto"/>
              <w:right w:val="single" w:sz="4" w:space="0" w:color="auto"/>
            </w:tcBorders>
            <w:shd w:val="clear" w:color="auto" w:fill="auto"/>
            <w:vAlign w:val="center"/>
            <w:hideMark/>
          </w:tcPr>
          <w:p w14:paraId="6AFE9C5B"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net cash outflows (adjusted value)</w:t>
            </w:r>
          </w:p>
        </w:tc>
        <w:tc>
          <w:tcPr>
            <w:tcW w:w="1662" w:type="dxa"/>
            <w:tcBorders>
              <w:top w:val="nil"/>
              <w:left w:val="nil"/>
              <w:bottom w:val="single" w:sz="4" w:space="0" w:color="auto"/>
              <w:right w:val="single" w:sz="4" w:space="0" w:color="auto"/>
            </w:tcBorders>
            <w:shd w:val="clear" w:color="auto" w:fill="auto"/>
            <w:vAlign w:val="center"/>
          </w:tcPr>
          <w:p w14:paraId="44C13962" w14:textId="504494A7" w:rsidR="00173B0E" w:rsidRPr="00D15B08" w:rsidRDefault="00173B0E" w:rsidP="00D15B08">
            <w:pPr>
              <w:keepLines w:val="0"/>
              <w:spacing w:after="0" w:line="240" w:lineRule="auto"/>
              <w:jc w:val="right"/>
              <w:rPr>
                <w:rFonts w:eastAsia="Times New Roman"/>
                <w:sz w:val="20"/>
                <w:szCs w:val="20"/>
                <w:lang w:eastAsia="en-GB"/>
              </w:rPr>
            </w:pPr>
            <w:r w:rsidRPr="007E0530">
              <w:rPr>
                <w:sz w:val="20"/>
                <w:szCs w:val="20"/>
              </w:rPr>
              <w:t xml:space="preserve"> 49.6 </w:t>
            </w:r>
          </w:p>
        </w:tc>
        <w:tc>
          <w:tcPr>
            <w:tcW w:w="1662" w:type="dxa"/>
            <w:tcBorders>
              <w:top w:val="nil"/>
              <w:left w:val="nil"/>
              <w:bottom w:val="single" w:sz="4" w:space="0" w:color="auto"/>
              <w:right w:val="single" w:sz="4" w:space="0" w:color="auto"/>
            </w:tcBorders>
            <w:shd w:val="clear" w:color="auto" w:fill="auto"/>
            <w:vAlign w:val="center"/>
            <w:hideMark/>
          </w:tcPr>
          <w:p w14:paraId="43C334DA" w14:textId="7207AF72" w:rsidR="00173B0E" w:rsidRPr="00CD11DE" w:rsidRDefault="00173B0E" w:rsidP="00173B0E">
            <w:pPr>
              <w:keepLines w:val="0"/>
              <w:spacing w:after="0" w:line="240" w:lineRule="auto"/>
              <w:jc w:val="right"/>
              <w:rPr>
                <w:rFonts w:eastAsia="Times New Roman"/>
                <w:sz w:val="20"/>
                <w:szCs w:val="20"/>
                <w:lang w:eastAsia="en-GB"/>
              </w:rPr>
            </w:pPr>
            <w:r w:rsidRPr="00CD11DE">
              <w:rPr>
                <w:rFonts w:eastAsia="Times New Roman"/>
                <w:sz w:val="20"/>
                <w:szCs w:val="20"/>
                <w:lang w:eastAsia="en-GB"/>
              </w:rPr>
              <w:t xml:space="preserve"> 33.1 </w:t>
            </w:r>
          </w:p>
        </w:tc>
      </w:tr>
      <w:tr w:rsidR="00173B0E" w:rsidRPr="00CD11DE" w14:paraId="5EF4DD82"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7540E97"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17</w:t>
            </w:r>
          </w:p>
        </w:tc>
        <w:tc>
          <w:tcPr>
            <w:tcW w:w="9980" w:type="dxa"/>
            <w:tcBorders>
              <w:top w:val="nil"/>
              <w:left w:val="nil"/>
              <w:bottom w:val="single" w:sz="4" w:space="0" w:color="auto"/>
              <w:right w:val="single" w:sz="4" w:space="0" w:color="auto"/>
            </w:tcBorders>
            <w:shd w:val="clear" w:color="auto" w:fill="auto"/>
            <w:vAlign w:val="center"/>
            <w:hideMark/>
          </w:tcPr>
          <w:p w14:paraId="4EC0A1DA"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Liquidity coverage ratio (%)</w:t>
            </w:r>
          </w:p>
        </w:tc>
        <w:tc>
          <w:tcPr>
            <w:tcW w:w="1662" w:type="dxa"/>
            <w:tcBorders>
              <w:top w:val="nil"/>
              <w:left w:val="nil"/>
              <w:bottom w:val="single" w:sz="4" w:space="0" w:color="auto"/>
              <w:right w:val="single" w:sz="4" w:space="0" w:color="auto"/>
            </w:tcBorders>
            <w:shd w:val="clear" w:color="auto" w:fill="auto"/>
            <w:vAlign w:val="center"/>
          </w:tcPr>
          <w:p w14:paraId="4F0E10B8" w14:textId="2BE28E05" w:rsidR="00173B0E" w:rsidRPr="00D15B08" w:rsidRDefault="00173B0E" w:rsidP="00D15B08">
            <w:pPr>
              <w:keepLines w:val="0"/>
              <w:spacing w:after="0" w:line="240" w:lineRule="auto"/>
              <w:jc w:val="right"/>
              <w:rPr>
                <w:sz w:val="20"/>
                <w:szCs w:val="20"/>
              </w:rPr>
            </w:pPr>
            <w:r w:rsidRPr="007E0530">
              <w:rPr>
                <w:sz w:val="20"/>
                <w:szCs w:val="20"/>
              </w:rPr>
              <w:t>523%</w:t>
            </w:r>
          </w:p>
        </w:tc>
        <w:tc>
          <w:tcPr>
            <w:tcW w:w="1662" w:type="dxa"/>
            <w:tcBorders>
              <w:top w:val="nil"/>
              <w:left w:val="nil"/>
              <w:bottom w:val="single" w:sz="4" w:space="0" w:color="auto"/>
              <w:right w:val="single" w:sz="4" w:space="0" w:color="auto"/>
            </w:tcBorders>
            <w:shd w:val="clear" w:color="auto" w:fill="auto"/>
            <w:vAlign w:val="center"/>
            <w:hideMark/>
          </w:tcPr>
          <w:p w14:paraId="69A44B97" w14:textId="1984BFBF" w:rsidR="00173B0E" w:rsidRPr="00CD11DE" w:rsidRDefault="00173B0E" w:rsidP="00173B0E">
            <w:pPr>
              <w:keepLines w:val="0"/>
              <w:spacing w:after="0" w:line="240" w:lineRule="auto"/>
              <w:jc w:val="right"/>
              <w:rPr>
                <w:sz w:val="20"/>
                <w:szCs w:val="20"/>
              </w:rPr>
            </w:pPr>
            <w:r w:rsidRPr="00CD11DE">
              <w:rPr>
                <w:sz w:val="20"/>
                <w:szCs w:val="20"/>
              </w:rPr>
              <w:t>641%</w:t>
            </w:r>
          </w:p>
        </w:tc>
      </w:tr>
      <w:tr w:rsidR="00BB5BD3" w:rsidRPr="00CD11DE" w14:paraId="703BAD12" w14:textId="77777777" w:rsidTr="006F3279">
        <w:trPr>
          <w:trHeight w:val="300"/>
        </w:trPr>
        <w:tc>
          <w:tcPr>
            <w:tcW w:w="555" w:type="dxa"/>
            <w:tcBorders>
              <w:top w:val="nil"/>
              <w:left w:val="single" w:sz="4" w:space="0" w:color="auto"/>
              <w:bottom w:val="single" w:sz="4" w:space="0" w:color="auto"/>
              <w:right w:val="single" w:sz="4" w:space="0" w:color="auto"/>
            </w:tcBorders>
            <w:shd w:val="clear" w:color="auto" w:fill="06B1D6" w:themeFill="accent1"/>
            <w:vAlign w:val="center"/>
            <w:hideMark/>
          </w:tcPr>
          <w:p w14:paraId="72E2B584" w14:textId="77777777" w:rsidR="00BB5BD3" w:rsidRPr="00CD11DE" w:rsidRDefault="00BB5BD3" w:rsidP="00E6686D">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w:t>
            </w:r>
          </w:p>
        </w:tc>
        <w:tc>
          <w:tcPr>
            <w:tcW w:w="13304" w:type="dxa"/>
            <w:gridSpan w:val="3"/>
            <w:tcBorders>
              <w:top w:val="single" w:sz="4" w:space="0" w:color="auto"/>
              <w:left w:val="nil"/>
              <w:bottom w:val="single" w:sz="4" w:space="0" w:color="auto"/>
              <w:right w:val="single" w:sz="4" w:space="0" w:color="000000"/>
            </w:tcBorders>
            <w:shd w:val="clear" w:color="auto" w:fill="06B1D6" w:themeFill="accent1"/>
            <w:vAlign w:val="center"/>
            <w:hideMark/>
          </w:tcPr>
          <w:p w14:paraId="7E5A7B5D" w14:textId="035A4011" w:rsidR="00BB5BD3" w:rsidRPr="00CD11DE" w:rsidRDefault="00BB5BD3" w:rsidP="00E6686D">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Net Stable Funding Ratio</w:t>
            </w:r>
          </w:p>
        </w:tc>
      </w:tr>
      <w:tr w:rsidR="00173B0E" w:rsidRPr="00CD11DE" w14:paraId="27686020"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C6B8958"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18</w:t>
            </w:r>
          </w:p>
        </w:tc>
        <w:tc>
          <w:tcPr>
            <w:tcW w:w="9980" w:type="dxa"/>
            <w:tcBorders>
              <w:top w:val="nil"/>
              <w:left w:val="nil"/>
              <w:bottom w:val="single" w:sz="4" w:space="0" w:color="auto"/>
              <w:right w:val="single" w:sz="4" w:space="0" w:color="auto"/>
            </w:tcBorders>
            <w:shd w:val="clear" w:color="auto" w:fill="auto"/>
            <w:vAlign w:val="center"/>
            <w:hideMark/>
          </w:tcPr>
          <w:p w14:paraId="0480CDEA"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available stable funding</w:t>
            </w:r>
          </w:p>
        </w:tc>
        <w:tc>
          <w:tcPr>
            <w:tcW w:w="1662" w:type="dxa"/>
            <w:tcBorders>
              <w:top w:val="nil"/>
              <w:left w:val="nil"/>
              <w:bottom w:val="single" w:sz="4" w:space="0" w:color="auto"/>
              <w:right w:val="single" w:sz="4" w:space="0" w:color="auto"/>
            </w:tcBorders>
            <w:shd w:val="clear" w:color="auto" w:fill="auto"/>
            <w:vAlign w:val="center"/>
          </w:tcPr>
          <w:p w14:paraId="5C682E6C" w14:textId="14BCBEB5" w:rsidR="00173B0E" w:rsidRPr="00D15B08" w:rsidRDefault="00173B0E" w:rsidP="00D15B08">
            <w:pPr>
              <w:keepLines w:val="0"/>
              <w:spacing w:after="0" w:line="240" w:lineRule="auto"/>
              <w:jc w:val="right"/>
              <w:rPr>
                <w:sz w:val="20"/>
                <w:szCs w:val="20"/>
              </w:rPr>
            </w:pPr>
            <w:r w:rsidRPr="007E0530">
              <w:rPr>
                <w:sz w:val="20"/>
                <w:szCs w:val="20"/>
              </w:rPr>
              <w:t xml:space="preserve"> 2,331.0 </w:t>
            </w:r>
          </w:p>
        </w:tc>
        <w:tc>
          <w:tcPr>
            <w:tcW w:w="1662" w:type="dxa"/>
            <w:tcBorders>
              <w:top w:val="nil"/>
              <w:left w:val="nil"/>
              <w:bottom w:val="single" w:sz="4" w:space="0" w:color="auto"/>
              <w:right w:val="single" w:sz="4" w:space="0" w:color="auto"/>
            </w:tcBorders>
            <w:shd w:val="clear" w:color="auto" w:fill="auto"/>
            <w:vAlign w:val="center"/>
            <w:hideMark/>
          </w:tcPr>
          <w:p w14:paraId="23C9C9B7" w14:textId="27ECE1B3" w:rsidR="00173B0E" w:rsidRPr="00CD11DE" w:rsidRDefault="00173B0E" w:rsidP="00173B0E">
            <w:pPr>
              <w:keepLines w:val="0"/>
              <w:spacing w:after="0" w:line="240" w:lineRule="auto"/>
              <w:jc w:val="right"/>
              <w:rPr>
                <w:rFonts w:eastAsia="Times New Roman"/>
                <w:sz w:val="20"/>
                <w:szCs w:val="20"/>
                <w:lang w:eastAsia="en-GB"/>
              </w:rPr>
            </w:pPr>
            <w:r w:rsidRPr="00CD11DE">
              <w:rPr>
                <w:sz w:val="20"/>
                <w:szCs w:val="20"/>
              </w:rPr>
              <w:t xml:space="preserve"> 2,071.3 </w:t>
            </w:r>
          </w:p>
        </w:tc>
      </w:tr>
      <w:tr w:rsidR="00173B0E" w:rsidRPr="00CD11DE" w14:paraId="5AAD2022"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A885643"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19</w:t>
            </w:r>
          </w:p>
        </w:tc>
        <w:tc>
          <w:tcPr>
            <w:tcW w:w="9980" w:type="dxa"/>
            <w:tcBorders>
              <w:top w:val="nil"/>
              <w:left w:val="nil"/>
              <w:bottom w:val="single" w:sz="4" w:space="0" w:color="auto"/>
              <w:right w:val="single" w:sz="4" w:space="0" w:color="auto"/>
            </w:tcBorders>
            <w:shd w:val="clear" w:color="auto" w:fill="auto"/>
            <w:noWrap/>
            <w:vAlign w:val="center"/>
            <w:hideMark/>
          </w:tcPr>
          <w:p w14:paraId="5B624BC3"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Total required stable funding</w:t>
            </w:r>
          </w:p>
        </w:tc>
        <w:tc>
          <w:tcPr>
            <w:tcW w:w="1662" w:type="dxa"/>
            <w:tcBorders>
              <w:top w:val="nil"/>
              <w:left w:val="nil"/>
              <w:bottom w:val="single" w:sz="4" w:space="0" w:color="auto"/>
              <w:right w:val="single" w:sz="4" w:space="0" w:color="auto"/>
            </w:tcBorders>
            <w:shd w:val="clear" w:color="auto" w:fill="auto"/>
            <w:vAlign w:val="center"/>
          </w:tcPr>
          <w:p w14:paraId="650168C1" w14:textId="459B4F7E" w:rsidR="00173B0E" w:rsidRPr="00D15B08" w:rsidRDefault="00173B0E" w:rsidP="00D15B08">
            <w:pPr>
              <w:keepLines w:val="0"/>
              <w:spacing w:after="0" w:line="240" w:lineRule="auto"/>
              <w:jc w:val="right"/>
              <w:rPr>
                <w:sz w:val="20"/>
                <w:szCs w:val="20"/>
              </w:rPr>
            </w:pPr>
            <w:r w:rsidRPr="007E0530">
              <w:rPr>
                <w:sz w:val="20"/>
                <w:szCs w:val="20"/>
              </w:rPr>
              <w:t xml:space="preserve"> 1,449.3 </w:t>
            </w:r>
          </w:p>
        </w:tc>
        <w:tc>
          <w:tcPr>
            <w:tcW w:w="1662" w:type="dxa"/>
            <w:tcBorders>
              <w:top w:val="nil"/>
              <w:left w:val="nil"/>
              <w:bottom w:val="single" w:sz="4" w:space="0" w:color="auto"/>
              <w:right w:val="single" w:sz="4" w:space="0" w:color="auto"/>
            </w:tcBorders>
            <w:shd w:val="clear" w:color="auto" w:fill="auto"/>
            <w:vAlign w:val="center"/>
            <w:hideMark/>
          </w:tcPr>
          <w:p w14:paraId="021CAA0E" w14:textId="724568D7" w:rsidR="00173B0E" w:rsidRPr="00CD11DE" w:rsidRDefault="00173B0E" w:rsidP="00173B0E">
            <w:pPr>
              <w:keepLines w:val="0"/>
              <w:spacing w:after="0" w:line="240" w:lineRule="auto"/>
              <w:jc w:val="right"/>
              <w:rPr>
                <w:rFonts w:eastAsia="Times New Roman"/>
                <w:sz w:val="20"/>
                <w:szCs w:val="20"/>
                <w:lang w:eastAsia="en-GB"/>
              </w:rPr>
            </w:pPr>
            <w:r w:rsidRPr="00CD11DE">
              <w:rPr>
                <w:sz w:val="20"/>
                <w:szCs w:val="20"/>
              </w:rPr>
              <w:t xml:space="preserve"> 1,321.3 </w:t>
            </w:r>
          </w:p>
        </w:tc>
      </w:tr>
      <w:tr w:rsidR="00173B0E" w:rsidRPr="00CD11DE" w14:paraId="34F9D6E7" w14:textId="77777777" w:rsidTr="007E0530">
        <w:trPr>
          <w:trHeight w:val="300"/>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93E4274" w14:textId="77777777"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20</w:t>
            </w:r>
          </w:p>
        </w:tc>
        <w:tc>
          <w:tcPr>
            <w:tcW w:w="9980" w:type="dxa"/>
            <w:tcBorders>
              <w:top w:val="nil"/>
              <w:left w:val="nil"/>
              <w:bottom w:val="single" w:sz="4" w:space="0" w:color="auto"/>
              <w:right w:val="single" w:sz="4" w:space="0" w:color="auto"/>
            </w:tcBorders>
            <w:shd w:val="clear" w:color="auto" w:fill="auto"/>
            <w:vAlign w:val="center"/>
            <w:hideMark/>
          </w:tcPr>
          <w:p w14:paraId="74883467" w14:textId="1A85E26B" w:rsidR="00173B0E" w:rsidRPr="00CD11DE" w:rsidRDefault="00173B0E" w:rsidP="00173B0E">
            <w:pPr>
              <w:keepLines w:val="0"/>
              <w:spacing w:after="0" w:line="240" w:lineRule="auto"/>
              <w:jc w:val="left"/>
              <w:rPr>
                <w:rFonts w:eastAsia="Times New Roman"/>
                <w:sz w:val="20"/>
                <w:szCs w:val="20"/>
                <w:lang w:eastAsia="en-GB"/>
              </w:rPr>
            </w:pPr>
            <w:r w:rsidRPr="00CD11DE">
              <w:rPr>
                <w:rFonts w:eastAsia="Times New Roman"/>
                <w:sz w:val="20"/>
                <w:szCs w:val="20"/>
                <w:lang w:eastAsia="en-GB"/>
              </w:rPr>
              <w:t>NSFR ratio (%)</w:t>
            </w:r>
          </w:p>
        </w:tc>
        <w:tc>
          <w:tcPr>
            <w:tcW w:w="1662" w:type="dxa"/>
            <w:tcBorders>
              <w:top w:val="nil"/>
              <w:left w:val="nil"/>
              <w:bottom w:val="single" w:sz="4" w:space="0" w:color="auto"/>
              <w:right w:val="single" w:sz="4" w:space="0" w:color="auto"/>
            </w:tcBorders>
            <w:shd w:val="clear" w:color="auto" w:fill="auto"/>
            <w:vAlign w:val="center"/>
          </w:tcPr>
          <w:p w14:paraId="284F5293" w14:textId="6BD3F8AA" w:rsidR="00173B0E" w:rsidRPr="00D15B08" w:rsidRDefault="00173B0E" w:rsidP="00D15B08">
            <w:pPr>
              <w:keepLines w:val="0"/>
              <w:spacing w:after="0" w:line="240" w:lineRule="auto"/>
              <w:jc w:val="right"/>
              <w:rPr>
                <w:sz w:val="20"/>
                <w:szCs w:val="20"/>
              </w:rPr>
            </w:pPr>
            <w:r w:rsidRPr="007E0530">
              <w:rPr>
                <w:sz w:val="20"/>
                <w:szCs w:val="20"/>
              </w:rPr>
              <w:t>161%</w:t>
            </w:r>
          </w:p>
        </w:tc>
        <w:tc>
          <w:tcPr>
            <w:tcW w:w="1662" w:type="dxa"/>
            <w:tcBorders>
              <w:top w:val="nil"/>
              <w:left w:val="nil"/>
              <w:bottom w:val="single" w:sz="4" w:space="0" w:color="auto"/>
              <w:right w:val="single" w:sz="4" w:space="0" w:color="auto"/>
            </w:tcBorders>
            <w:shd w:val="clear" w:color="auto" w:fill="auto"/>
            <w:vAlign w:val="center"/>
            <w:hideMark/>
          </w:tcPr>
          <w:p w14:paraId="061F8E53" w14:textId="3DF775A3" w:rsidR="00173B0E" w:rsidRPr="00CD11DE" w:rsidRDefault="00173B0E" w:rsidP="00173B0E">
            <w:pPr>
              <w:keepLines w:val="0"/>
              <w:spacing w:after="0" w:line="240" w:lineRule="auto"/>
              <w:jc w:val="right"/>
              <w:rPr>
                <w:rFonts w:eastAsia="Times New Roman"/>
                <w:sz w:val="20"/>
                <w:szCs w:val="20"/>
                <w:lang w:eastAsia="en-GB"/>
              </w:rPr>
            </w:pPr>
            <w:r w:rsidRPr="00CD11DE">
              <w:rPr>
                <w:sz w:val="20"/>
                <w:szCs w:val="20"/>
              </w:rPr>
              <w:t>157%</w:t>
            </w:r>
          </w:p>
        </w:tc>
      </w:tr>
    </w:tbl>
    <w:p w14:paraId="10C4F348" w14:textId="1432DE0E" w:rsidR="00494DEB" w:rsidRPr="00CD11DE" w:rsidRDefault="00494DEB" w:rsidP="00494DEB">
      <w:pPr>
        <w:spacing w:after="0" w:line="240" w:lineRule="auto"/>
        <w:ind w:left="432"/>
      </w:pPr>
    </w:p>
    <w:p w14:paraId="7FCBFE2C" w14:textId="77777777" w:rsidR="00972535" w:rsidRPr="00CD11DE" w:rsidRDefault="00972535" w:rsidP="00494DEB">
      <w:pPr>
        <w:spacing w:after="0" w:line="240" w:lineRule="auto"/>
        <w:ind w:left="432"/>
      </w:pPr>
    </w:p>
    <w:p w14:paraId="1D8A7AE3" w14:textId="77777777" w:rsidR="00972535" w:rsidRPr="00CD11DE" w:rsidRDefault="00972535" w:rsidP="00494DEB">
      <w:pPr>
        <w:spacing w:after="0" w:line="240" w:lineRule="auto"/>
        <w:ind w:left="432"/>
      </w:pPr>
    </w:p>
    <w:p w14:paraId="4223A08A" w14:textId="77777777" w:rsidR="00972535" w:rsidRPr="00CD11DE" w:rsidRDefault="00972535" w:rsidP="00494DEB">
      <w:pPr>
        <w:spacing w:after="0" w:line="240" w:lineRule="auto"/>
        <w:ind w:left="432"/>
      </w:pPr>
    </w:p>
    <w:p w14:paraId="446851A2" w14:textId="77777777" w:rsidR="00972535" w:rsidRPr="00CD11DE" w:rsidRDefault="00972535" w:rsidP="00494DEB">
      <w:pPr>
        <w:spacing w:after="0" w:line="240" w:lineRule="auto"/>
        <w:ind w:left="432"/>
      </w:pPr>
    </w:p>
    <w:p w14:paraId="4E41C519" w14:textId="77777777" w:rsidR="00972535" w:rsidRPr="00CD11DE" w:rsidRDefault="00972535" w:rsidP="00494DEB">
      <w:pPr>
        <w:spacing w:after="0" w:line="240" w:lineRule="auto"/>
        <w:ind w:left="432"/>
      </w:pPr>
    </w:p>
    <w:p w14:paraId="579D06F8" w14:textId="77777777" w:rsidR="00972535" w:rsidRPr="00CD11DE" w:rsidRDefault="00972535" w:rsidP="00494DEB">
      <w:pPr>
        <w:spacing w:after="0" w:line="240" w:lineRule="auto"/>
        <w:ind w:left="432"/>
      </w:pPr>
    </w:p>
    <w:p w14:paraId="2B31CFF1" w14:textId="77777777" w:rsidR="00972535" w:rsidRPr="00CD11DE" w:rsidRDefault="00972535" w:rsidP="00494DEB">
      <w:pPr>
        <w:spacing w:after="0" w:line="240" w:lineRule="auto"/>
        <w:ind w:left="432"/>
      </w:pPr>
    </w:p>
    <w:p w14:paraId="18390270" w14:textId="77777777" w:rsidR="00972535" w:rsidRPr="00CD11DE" w:rsidRDefault="00972535" w:rsidP="00494DEB">
      <w:pPr>
        <w:spacing w:after="0" w:line="240" w:lineRule="auto"/>
        <w:ind w:left="432"/>
      </w:pPr>
    </w:p>
    <w:p w14:paraId="4BCE833D" w14:textId="77777777" w:rsidR="00972535" w:rsidRPr="00CD11DE" w:rsidRDefault="00972535" w:rsidP="00494DEB">
      <w:pPr>
        <w:spacing w:after="0" w:line="240" w:lineRule="auto"/>
        <w:ind w:left="432"/>
      </w:pPr>
    </w:p>
    <w:p w14:paraId="02E82482" w14:textId="77777777" w:rsidR="00972535" w:rsidRPr="00CD11DE" w:rsidRDefault="00972535" w:rsidP="00494DEB">
      <w:pPr>
        <w:spacing w:after="0" w:line="240" w:lineRule="auto"/>
        <w:ind w:left="432"/>
      </w:pPr>
    </w:p>
    <w:p w14:paraId="34FEB09C" w14:textId="77777777" w:rsidR="00972535" w:rsidRPr="00CD11DE" w:rsidRDefault="00972535" w:rsidP="00494DEB">
      <w:pPr>
        <w:spacing w:after="0" w:line="240" w:lineRule="auto"/>
        <w:ind w:left="432"/>
      </w:pPr>
    </w:p>
    <w:p w14:paraId="4B1F11BB" w14:textId="77777777" w:rsidR="00972535" w:rsidRPr="00CD11DE" w:rsidRDefault="00972535" w:rsidP="00494DEB">
      <w:pPr>
        <w:spacing w:after="0" w:line="240" w:lineRule="auto"/>
        <w:ind w:left="432"/>
      </w:pPr>
    </w:p>
    <w:p w14:paraId="10BEBB32" w14:textId="77777777" w:rsidR="00972535" w:rsidRPr="00CD11DE" w:rsidRDefault="00972535" w:rsidP="00494DEB">
      <w:pPr>
        <w:spacing w:after="0" w:line="240" w:lineRule="auto"/>
        <w:ind w:left="432"/>
      </w:pPr>
    </w:p>
    <w:p w14:paraId="26AA0109" w14:textId="62F682D8" w:rsidR="00196B6A" w:rsidRPr="00CD11DE" w:rsidRDefault="00196B6A" w:rsidP="00204A8B">
      <w:pPr>
        <w:rPr>
          <w:sz w:val="18"/>
          <w:szCs w:val="18"/>
        </w:rPr>
      </w:pPr>
    </w:p>
    <w:p w14:paraId="1BC75BE6" w14:textId="77777777" w:rsidR="00E6686D" w:rsidRPr="00CD11DE" w:rsidRDefault="00E6686D" w:rsidP="00204A8B">
      <w:pPr>
        <w:rPr>
          <w:b/>
          <w:sz w:val="20"/>
          <w:szCs w:val="20"/>
        </w:rPr>
      </w:pPr>
    </w:p>
    <w:p w14:paraId="22501321" w14:textId="77777777" w:rsidR="00E6686D" w:rsidRPr="00CD11DE" w:rsidRDefault="00E6686D" w:rsidP="00204A8B">
      <w:pPr>
        <w:rPr>
          <w:b/>
          <w:sz w:val="20"/>
          <w:szCs w:val="20"/>
        </w:rPr>
      </w:pPr>
    </w:p>
    <w:p w14:paraId="26068ABC" w14:textId="12069A09" w:rsidR="00196B6A" w:rsidRPr="00CD11DE" w:rsidRDefault="009E6C0E" w:rsidP="00204A8B">
      <w:pPr>
        <w:rPr>
          <w:sz w:val="18"/>
          <w:szCs w:val="18"/>
        </w:rPr>
      </w:pPr>
      <w:r w:rsidRPr="00CD11DE">
        <w:rPr>
          <w:b/>
          <w:sz w:val="20"/>
          <w:szCs w:val="20"/>
        </w:rPr>
        <w:t>Overview of risk weighted exposure amounts – OV1</w:t>
      </w:r>
    </w:p>
    <w:tbl>
      <w:tblPr>
        <w:tblW w:w="13775" w:type="dxa"/>
        <w:tblLook w:val="04A0" w:firstRow="1" w:lastRow="0" w:firstColumn="1" w:lastColumn="0" w:noHBand="0" w:noVBand="1"/>
      </w:tblPr>
      <w:tblGrid>
        <w:gridCol w:w="993"/>
        <w:gridCol w:w="7796"/>
        <w:gridCol w:w="1662"/>
        <w:gridCol w:w="1662"/>
        <w:gridCol w:w="1662"/>
      </w:tblGrid>
      <w:tr w:rsidR="009E6C0E" w:rsidRPr="00CD11DE" w14:paraId="2C46712A" w14:textId="77777777" w:rsidTr="006F3279">
        <w:trPr>
          <w:trHeight w:val="300"/>
        </w:trPr>
        <w:tc>
          <w:tcPr>
            <w:tcW w:w="993" w:type="dxa"/>
            <w:tcBorders>
              <w:top w:val="nil"/>
              <w:left w:val="nil"/>
              <w:bottom w:val="nil"/>
              <w:right w:val="nil"/>
            </w:tcBorders>
            <w:shd w:val="clear" w:color="auto" w:fill="auto"/>
            <w:noWrap/>
            <w:vAlign w:val="bottom"/>
            <w:hideMark/>
          </w:tcPr>
          <w:p w14:paraId="7DEF2B63" w14:textId="77777777" w:rsidR="009E6C0E" w:rsidRPr="00CD11DE" w:rsidRDefault="009E6C0E" w:rsidP="009E6C0E">
            <w:pPr>
              <w:keepLines w:val="0"/>
              <w:spacing w:after="0" w:line="240" w:lineRule="auto"/>
              <w:jc w:val="left"/>
              <w:rPr>
                <w:rFonts w:ascii="Times New Roman" w:eastAsia="Times New Roman" w:hAnsi="Times New Roman" w:cs="Times New Roman"/>
                <w:color w:val="auto"/>
                <w:sz w:val="24"/>
                <w:szCs w:val="24"/>
                <w:lang w:eastAsia="en-GB"/>
              </w:rPr>
            </w:pPr>
          </w:p>
        </w:tc>
        <w:tc>
          <w:tcPr>
            <w:tcW w:w="7796" w:type="dxa"/>
            <w:tcBorders>
              <w:top w:val="nil"/>
              <w:left w:val="nil"/>
              <w:bottom w:val="nil"/>
              <w:right w:val="nil"/>
            </w:tcBorders>
            <w:shd w:val="clear" w:color="auto" w:fill="auto"/>
            <w:noWrap/>
            <w:vAlign w:val="bottom"/>
            <w:hideMark/>
          </w:tcPr>
          <w:p w14:paraId="5B6081D4" w14:textId="77777777" w:rsidR="009E6C0E" w:rsidRPr="00CD11DE" w:rsidRDefault="009E6C0E" w:rsidP="009E6C0E">
            <w:pPr>
              <w:keepLines w:val="0"/>
              <w:spacing w:after="0" w:line="240" w:lineRule="auto"/>
              <w:jc w:val="left"/>
              <w:rPr>
                <w:rFonts w:ascii="Times New Roman" w:eastAsia="Times New Roman" w:hAnsi="Times New Roman" w:cs="Times New Roman"/>
                <w:color w:val="auto"/>
                <w:sz w:val="20"/>
                <w:szCs w:val="20"/>
                <w:lang w:eastAsia="en-GB"/>
              </w:rPr>
            </w:pPr>
          </w:p>
        </w:tc>
        <w:tc>
          <w:tcPr>
            <w:tcW w:w="1662"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20618E70" w14:textId="77777777"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a</w:t>
            </w:r>
          </w:p>
        </w:tc>
        <w:tc>
          <w:tcPr>
            <w:tcW w:w="1662" w:type="dxa"/>
            <w:tcBorders>
              <w:top w:val="single" w:sz="4" w:space="0" w:color="auto"/>
              <w:left w:val="nil"/>
              <w:bottom w:val="single" w:sz="4" w:space="0" w:color="auto"/>
              <w:right w:val="single" w:sz="4" w:space="0" w:color="auto"/>
            </w:tcBorders>
            <w:shd w:val="clear" w:color="auto" w:fill="06B1D6" w:themeFill="accent1"/>
            <w:vAlign w:val="center"/>
            <w:hideMark/>
          </w:tcPr>
          <w:p w14:paraId="59A23228" w14:textId="77777777"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b</w:t>
            </w:r>
          </w:p>
        </w:tc>
        <w:tc>
          <w:tcPr>
            <w:tcW w:w="1662" w:type="dxa"/>
            <w:tcBorders>
              <w:top w:val="single" w:sz="4" w:space="0" w:color="auto"/>
              <w:left w:val="nil"/>
              <w:bottom w:val="single" w:sz="4" w:space="0" w:color="auto"/>
              <w:right w:val="single" w:sz="4" w:space="0" w:color="auto"/>
            </w:tcBorders>
            <w:shd w:val="clear" w:color="auto" w:fill="06B1D6" w:themeFill="accent1"/>
            <w:vAlign w:val="center"/>
            <w:hideMark/>
          </w:tcPr>
          <w:p w14:paraId="3E6B0FB5" w14:textId="77777777"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c</w:t>
            </w:r>
          </w:p>
        </w:tc>
      </w:tr>
      <w:tr w:rsidR="005E3C58" w:rsidRPr="00CD11DE" w14:paraId="4CBF756C" w14:textId="77777777" w:rsidTr="006F3279">
        <w:trPr>
          <w:trHeight w:val="600"/>
        </w:trPr>
        <w:tc>
          <w:tcPr>
            <w:tcW w:w="8789" w:type="dxa"/>
            <w:gridSpan w:val="2"/>
            <w:vMerge w:val="restart"/>
            <w:tcBorders>
              <w:top w:val="nil"/>
              <w:left w:val="nil"/>
              <w:bottom w:val="nil"/>
              <w:right w:val="nil"/>
            </w:tcBorders>
            <w:shd w:val="clear" w:color="auto" w:fill="auto"/>
            <w:vAlign w:val="center"/>
            <w:hideMark/>
          </w:tcPr>
          <w:p w14:paraId="25702D01" w14:textId="77777777" w:rsidR="009E6C0E" w:rsidRPr="00CD11DE" w:rsidRDefault="009E6C0E" w:rsidP="009E6C0E">
            <w:pPr>
              <w:keepLines w:val="0"/>
              <w:spacing w:after="0" w:line="240" w:lineRule="auto"/>
              <w:jc w:val="center"/>
              <w:rPr>
                <w:rFonts w:eastAsia="Times New Roman"/>
                <w:b/>
                <w:bCs/>
                <w:color w:val="FFFFFF"/>
                <w:sz w:val="20"/>
                <w:szCs w:val="20"/>
                <w:lang w:eastAsia="en-GB"/>
              </w:rPr>
            </w:pPr>
          </w:p>
        </w:tc>
        <w:tc>
          <w:tcPr>
            <w:tcW w:w="3324" w:type="dxa"/>
            <w:gridSpan w:val="2"/>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5B7B438C" w14:textId="77777777" w:rsidR="009E6C0E" w:rsidRPr="00CD11DE" w:rsidRDefault="009E6C0E" w:rsidP="009E6C0E">
            <w:pPr>
              <w:keepLines w:val="0"/>
              <w:spacing w:after="0" w:line="240" w:lineRule="auto"/>
              <w:jc w:val="center"/>
              <w:rPr>
                <w:rFonts w:eastAsia="Times New Roman"/>
                <w:b/>
                <w:bCs/>
                <w:color w:val="FFFFFF"/>
                <w:sz w:val="20"/>
                <w:szCs w:val="20"/>
                <w:lang w:eastAsia="en-GB"/>
              </w:rPr>
            </w:pPr>
            <w:r w:rsidRPr="00CD11DE">
              <w:rPr>
                <w:rFonts w:eastAsia="Times New Roman"/>
                <w:b/>
                <w:bCs/>
                <w:color w:val="FFFFFF"/>
                <w:sz w:val="20"/>
                <w:szCs w:val="20"/>
                <w:lang w:eastAsia="en-GB"/>
              </w:rPr>
              <w:t>Risk weighted exposure amounts (RWEAs)</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22DB36F1" w14:textId="77777777" w:rsidR="009E6C0E" w:rsidRPr="00CD11DE" w:rsidRDefault="009E6C0E" w:rsidP="009E6C0E">
            <w:pPr>
              <w:keepLines w:val="0"/>
              <w:spacing w:after="0" w:line="240" w:lineRule="auto"/>
              <w:jc w:val="center"/>
              <w:rPr>
                <w:rFonts w:eastAsia="Times New Roman"/>
                <w:b/>
                <w:bCs/>
                <w:color w:val="FFFFFF"/>
                <w:sz w:val="20"/>
                <w:szCs w:val="20"/>
                <w:lang w:eastAsia="en-GB"/>
              </w:rPr>
            </w:pPr>
            <w:r w:rsidRPr="00CD11DE">
              <w:rPr>
                <w:rFonts w:eastAsia="Times New Roman"/>
                <w:b/>
                <w:bCs/>
                <w:color w:val="FFFFFF"/>
                <w:sz w:val="20"/>
                <w:szCs w:val="20"/>
                <w:lang w:eastAsia="en-GB"/>
              </w:rPr>
              <w:t>Total own funds requirements</w:t>
            </w:r>
          </w:p>
        </w:tc>
      </w:tr>
      <w:tr w:rsidR="009E6C0E" w:rsidRPr="00CD11DE" w14:paraId="1CE353E6" w14:textId="77777777" w:rsidTr="006F3279">
        <w:trPr>
          <w:trHeight w:val="300"/>
        </w:trPr>
        <w:tc>
          <w:tcPr>
            <w:tcW w:w="8789" w:type="dxa"/>
            <w:gridSpan w:val="2"/>
            <w:vMerge/>
            <w:tcBorders>
              <w:top w:val="nil"/>
              <w:left w:val="nil"/>
              <w:bottom w:val="nil"/>
              <w:right w:val="nil"/>
            </w:tcBorders>
            <w:vAlign w:val="center"/>
            <w:hideMark/>
          </w:tcPr>
          <w:p w14:paraId="39FC0F04" w14:textId="77777777" w:rsidR="009E6C0E" w:rsidRPr="00CD11DE" w:rsidRDefault="009E6C0E" w:rsidP="009E6C0E">
            <w:pPr>
              <w:keepLines w:val="0"/>
              <w:spacing w:after="0" w:line="240" w:lineRule="auto"/>
              <w:jc w:val="left"/>
              <w:rPr>
                <w:rFonts w:eastAsia="Times New Roman"/>
                <w:b/>
                <w:bCs/>
                <w:color w:val="FFFFFF"/>
                <w:sz w:val="20"/>
                <w:szCs w:val="20"/>
                <w:lang w:eastAsia="en-GB"/>
              </w:rPr>
            </w:pPr>
          </w:p>
        </w:tc>
        <w:tc>
          <w:tcPr>
            <w:tcW w:w="1662" w:type="dxa"/>
            <w:tcBorders>
              <w:top w:val="nil"/>
              <w:left w:val="single" w:sz="4" w:space="0" w:color="auto"/>
              <w:bottom w:val="single" w:sz="4" w:space="0" w:color="auto"/>
              <w:right w:val="single" w:sz="4" w:space="0" w:color="auto"/>
            </w:tcBorders>
            <w:shd w:val="clear" w:color="auto" w:fill="06B1D6" w:themeFill="accent1"/>
            <w:vAlign w:val="center"/>
            <w:hideMark/>
          </w:tcPr>
          <w:p w14:paraId="15D8EC84" w14:textId="248D4A39"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31/12/</w:t>
            </w:r>
            <w:r w:rsidR="0023087C">
              <w:rPr>
                <w:rFonts w:eastAsia="Times New Roman"/>
                <w:b/>
                <w:bCs/>
                <w:color w:val="FFFFFF"/>
                <w:sz w:val="20"/>
                <w:szCs w:val="20"/>
                <w:lang w:eastAsia="en-GB"/>
              </w:rPr>
              <w:t>2024</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3DF6322F" w14:textId="56BAC141"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31/12/</w:t>
            </w:r>
            <w:r w:rsidR="0023087C">
              <w:rPr>
                <w:rFonts w:eastAsia="Times New Roman"/>
                <w:b/>
                <w:bCs/>
                <w:color w:val="FFFFFF"/>
                <w:sz w:val="20"/>
                <w:szCs w:val="20"/>
                <w:lang w:eastAsia="en-GB"/>
              </w:rPr>
              <w:t>2023</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28F011B0" w14:textId="4828B1CA"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31/12/</w:t>
            </w:r>
            <w:r w:rsidR="0023087C">
              <w:rPr>
                <w:rFonts w:eastAsia="Times New Roman"/>
                <w:b/>
                <w:bCs/>
                <w:color w:val="FFFFFF"/>
                <w:sz w:val="20"/>
                <w:szCs w:val="20"/>
                <w:lang w:eastAsia="en-GB"/>
              </w:rPr>
              <w:t>2024</w:t>
            </w:r>
          </w:p>
        </w:tc>
      </w:tr>
      <w:tr w:rsidR="009E6C0E" w:rsidRPr="00CD11DE" w14:paraId="127F9AC2" w14:textId="77777777" w:rsidTr="006F3279">
        <w:trPr>
          <w:trHeight w:val="300"/>
        </w:trPr>
        <w:tc>
          <w:tcPr>
            <w:tcW w:w="993" w:type="dxa"/>
            <w:tcBorders>
              <w:top w:val="nil"/>
              <w:left w:val="nil"/>
              <w:bottom w:val="nil"/>
              <w:right w:val="nil"/>
            </w:tcBorders>
            <w:shd w:val="clear" w:color="auto" w:fill="auto"/>
            <w:noWrap/>
            <w:vAlign w:val="bottom"/>
            <w:hideMark/>
          </w:tcPr>
          <w:p w14:paraId="5816528E" w14:textId="77777777" w:rsidR="009E6C0E" w:rsidRPr="00CD11DE" w:rsidRDefault="009E6C0E" w:rsidP="009E6C0E">
            <w:pPr>
              <w:keepLines w:val="0"/>
              <w:spacing w:after="0" w:line="240" w:lineRule="auto"/>
              <w:jc w:val="center"/>
              <w:rPr>
                <w:rFonts w:eastAsia="Times New Roman"/>
                <w:b/>
                <w:bCs/>
                <w:color w:val="FFFFFF"/>
                <w:sz w:val="20"/>
                <w:szCs w:val="20"/>
                <w:lang w:eastAsia="en-GB"/>
              </w:rPr>
            </w:pPr>
          </w:p>
        </w:tc>
        <w:tc>
          <w:tcPr>
            <w:tcW w:w="7796" w:type="dxa"/>
            <w:tcBorders>
              <w:top w:val="nil"/>
              <w:left w:val="nil"/>
              <w:bottom w:val="nil"/>
              <w:right w:val="nil"/>
            </w:tcBorders>
            <w:shd w:val="clear" w:color="auto" w:fill="auto"/>
            <w:noWrap/>
            <w:vAlign w:val="bottom"/>
            <w:hideMark/>
          </w:tcPr>
          <w:p w14:paraId="6B69EDAC" w14:textId="77777777" w:rsidR="009E6C0E" w:rsidRPr="00CD11DE" w:rsidRDefault="009E6C0E" w:rsidP="009E6C0E">
            <w:pPr>
              <w:keepLines w:val="0"/>
              <w:spacing w:after="0" w:line="240" w:lineRule="auto"/>
              <w:jc w:val="left"/>
              <w:rPr>
                <w:rFonts w:ascii="Times New Roman" w:eastAsia="Times New Roman" w:hAnsi="Times New Roman" w:cs="Times New Roman"/>
                <w:color w:val="auto"/>
                <w:sz w:val="20"/>
                <w:szCs w:val="20"/>
                <w:lang w:eastAsia="en-GB"/>
              </w:rPr>
            </w:pPr>
          </w:p>
        </w:tc>
        <w:tc>
          <w:tcPr>
            <w:tcW w:w="1662" w:type="dxa"/>
            <w:tcBorders>
              <w:top w:val="nil"/>
              <w:left w:val="single" w:sz="4" w:space="0" w:color="auto"/>
              <w:bottom w:val="single" w:sz="4" w:space="0" w:color="auto"/>
              <w:right w:val="single" w:sz="4" w:space="0" w:color="auto"/>
            </w:tcBorders>
            <w:shd w:val="clear" w:color="auto" w:fill="06B1D6" w:themeFill="accent1"/>
            <w:vAlign w:val="center"/>
            <w:hideMark/>
          </w:tcPr>
          <w:p w14:paraId="59CFC263" w14:textId="77777777"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£m</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1261472E" w14:textId="77777777"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£m</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38F462D0" w14:textId="77777777" w:rsidR="009E6C0E" w:rsidRPr="00CD11DE" w:rsidRDefault="009E6C0E" w:rsidP="00B3548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£m</w:t>
            </w:r>
          </w:p>
        </w:tc>
      </w:tr>
      <w:tr w:rsidR="006E523C" w:rsidRPr="00CD11DE" w14:paraId="4149BFBA" w14:textId="77777777" w:rsidTr="006F3279">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06B1D6" w:themeFill="accent1"/>
            <w:vAlign w:val="center"/>
            <w:hideMark/>
          </w:tcPr>
          <w:p w14:paraId="4460CC1C" w14:textId="77777777" w:rsidR="006E523C" w:rsidRPr="00CD11DE" w:rsidRDefault="006E523C" w:rsidP="005678C8">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1</w:t>
            </w:r>
          </w:p>
        </w:tc>
        <w:tc>
          <w:tcPr>
            <w:tcW w:w="7796" w:type="dxa"/>
            <w:tcBorders>
              <w:top w:val="single" w:sz="4" w:space="0" w:color="auto"/>
              <w:left w:val="nil"/>
              <w:bottom w:val="single" w:sz="4" w:space="0" w:color="auto"/>
              <w:right w:val="single" w:sz="4" w:space="0" w:color="auto"/>
            </w:tcBorders>
            <w:shd w:val="clear" w:color="auto" w:fill="06B1D6" w:themeFill="accent1"/>
            <w:vAlign w:val="center"/>
            <w:hideMark/>
          </w:tcPr>
          <w:p w14:paraId="50831A86" w14:textId="77777777" w:rsidR="006E523C" w:rsidRPr="00CD11DE" w:rsidRDefault="006E523C" w:rsidP="006E523C">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Credit risk (excluding CCR)</w:t>
            </w:r>
          </w:p>
        </w:tc>
        <w:tc>
          <w:tcPr>
            <w:tcW w:w="1662" w:type="dxa"/>
            <w:tcBorders>
              <w:top w:val="nil"/>
              <w:left w:val="nil"/>
              <w:bottom w:val="single" w:sz="4" w:space="0" w:color="auto"/>
              <w:right w:val="single" w:sz="4" w:space="0" w:color="auto"/>
            </w:tcBorders>
            <w:shd w:val="clear" w:color="auto" w:fill="06B1D6" w:themeFill="accent1"/>
            <w:vAlign w:val="center"/>
          </w:tcPr>
          <w:p w14:paraId="509D640A" w14:textId="244F7D7B" w:rsidR="006E523C" w:rsidRPr="00CD11DE" w:rsidRDefault="00173B0E" w:rsidP="006E523C">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1,1</w:t>
            </w:r>
            <w:r w:rsidR="009F3D59">
              <w:rPr>
                <w:rFonts w:eastAsia="Times New Roman"/>
                <w:b/>
                <w:bCs/>
                <w:color w:val="FFFFFF"/>
                <w:sz w:val="20"/>
                <w:szCs w:val="20"/>
                <w:lang w:eastAsia="en-GB"/>
              </w:rPr>
              <w:t>84.</w:t>
            </w:r>
            <w:r w:rsidR="008C7125">
              <w:rPr>
                <w:rFonts w:eastAsia="Times New Roman"/>
                <w:b/>
                <w:bCs/>
                <w:color w:val="FFFFFF"/>
                <w:sz w:val="20"/>
                <w:szCs w:val="20"/>
                <w:lang w:eastAsia="en-GB"/>
              </w:rPr>
              <w:t>1</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4113B9E9" w14:textId="188DA3E3" w:rsidR="006E523C" w:rsidRPr="00CD11DE" w:rsidRDefault="006E523C" w:rsidP="006E523C">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950.5</w:t>
            </w:r>
          </w:p>
        </w:tc>
        <w:tc>
          <w:tcPr>
            <w:tcW w:w="1662" w:type="dxa"/>
            <w:tcBorders>
              <w:top w:val="nil"/>
              <w:left w:val="nil"/>
              <w:bottom w:val="single" w:sz="4" w:space="0" w:color="auto"/>
              <w:right w:val="single" w:sz="4" w:space="0" w:color="auto"/>
            </w:tcBorders>
            <w:shd w:val="clear" w:color="auto" w:fill="06B1D6" w:themeFill="accent1"/>
            <w:vAlign w:val="center"/>
          </w:tcPr>
          <w:p w14:paraId="2CCFF72A" w14:textId="0CD50AE4" w:rsidR="006E523C" w:rsidRPr="00CD11DE" w:rsidRDefault="00390C00" w:rsidP="006E523C">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94.0</w:t>
            </w:r>
          </w:p>
        </w:tc>
      </w:tr>
      <w:tr w:rsidR="006E523C" w:rsidRPr="00CD11DE" w14:paraId="3816F7F6" w14:textId="77777777" w:rsidTr="007E053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54D289F" w14:textId="77777777" w:rsidR="006E523C" w:rsidRPr="00CD11DE" w:rsidRDefault="006E523C" w:rsidP="005678C8">
            <w:pPr>
              <w:keepLines w:val="0"/>
              <w:spacing w:after="0" w:line="240" w:lineRule="auto"/>
              <w:jc w:val="left"/>
              <w:rPr>
                <w:rFonts w:eastAsia="Times New Roman"/>
                <w:sz w:val="20"/>
                <w:szCs w:val="20"/>
                <w:lang w:eastAsia="en-GB"/>
              </w:rPr>
            </w:pPr>
            <w:r w:rsidRPr="00CD11DE">
              <w:rPr>
                <w:rFonts w:eastAsia="Times New Roman"/>
                <w:sz w:val="20"/>
                <w:szCs w:val="20"/>
                <w:lang w:eastAsia="en-GB"/>
              </w:rPr>
              <w:t>2</w:t>
            </w:r>
          </w:p>
        </w:tc>
        <w:tc>
          <w:tcPr>
            <w:tcW w:w="7796" w:type="dxa"/>
            <w:tcBorders>
              <w:top w:val="nil"/>
              <w:left w:val="nil"/>
              <w:bottom w:val="single" w:sz="4" w:space="0" w:color="auto"/>
              <w:right w:val="single" w:sz="4" w:space="0" w:color="auto"/>
            </w:tcBorders>
            <w:shd w:val="clear" w:color="auto" w:fill="auto"/>
            <w:vAlign w:val="center"/>
            <w:hideMark/>
          </w:tcPr>
          <w:p w14:paraId="3C1C44BD" w14:textId="77777777" w:rsidR="006E523C" w:rsidRPr="00CD11DE" w:rsidRDefault="006E523C" w:rsidP="006E523C">
            <w:pPr>
              <w:keepLines w:val="0"/>
              <w:spacing w:after="0" w:line="240" w:lineRule="auto"/>
              <w:ind w:firstLineChars="100" w:firstLine="200"/>
              <w:jc w:val="left"/>
              <w:rPr>
                <w:rFonts w:eastAsia="Times New Roman"/>
                <w:sz w:val="20"/>
                <w:szCs w:val="20"/>
                <w:lang w:eastAsia="en-GB"/>
              </w:rPr>
            </w:pPr>
            <w:r w:rsidRPr="00CD11DE">
              <w:rPr>
                <w:rFonts w:eastAsia="Times New Roman"/>
                <w:sz w:val="20"/>
                <w:szCs w:val="20"/>
                <w:lang w:eastAsia="en-GB"/>
              </w:rPr>
              <w:t xml:space="preserve">Of which the standardised approach </w:t>
            </w:r>
          </w:p>
        </w:tc>
        <w:tc>
          <w:tcPr>
            <w:tcW w:w="1662" w:type="dxa"/>
            <w:tcBorders>
              <w:top w:val="nil"/>
              <w:left w:val="nil"/>
              <w:bottom w:val="single" w:sz="4" w:space="0" w:color="auto"/>
              <w:right w:val="single" w:sz="4" w:space="0" w:color="auto"/>
            </w:tcBorders>
            <w:shd w:val="clear" w:color="auto" w:fill="auto"/>
            <w:vAlign w:val="center"/>
          </w:tcPr>
          <w:p w14:paraId="2385CC7F" w14:textId="44D35E50" w:rsidR="006E523C" w:rsidRPr="00CD11DE" w:rsidRDefault="00173B0E" w:rsidP="006E523C">
            <w:pPr>
              <w:keepLines w:val="0"/>
              <w:spacing w:after="0" w:line="240" w:lineRule="auto"/>
              <w:jc w:val="right"/>
              <w:rPr>
                <w:rFonts w:eastAsia="Times New Roman"/>
                <w:sz w:val="20"/>
                <w:szCs w:val="20"/>
                <w:lang w:eastAsia="en-GB"/>
              </w:rPr>
            </w:pPr>
            <w:r>
              <w:rPr>
                <w:rFonts w:eastAsia="Times New Roman"/>
                <w:sz w:val="20"/>
                <w:szCs w:val="20"/>
                <w:lang w:eastAsia="en-GB"/>
              </w:rPr>
              <w:t>1,1</w:t>
            </w:r>
            <w:r w:rsidR="009F3D59">
              <w:rPr>
                <w:rFonts w:eastAsia="Times New Roman"/>
                <w:sz w:val="20"/>
                <w:szCs w:val="20"/>
                <w:lang w:eastAsia="en-GB"/>
              </w:rPr>
              <w:t>84.</w:t>
            </w:r>
            <w:r w:rsidR="008C7125">
              <w:rPr>
                <w:rFonts w:eastAsia="Times New Roman"/>
                <w:sz w:val="20"/>
                <w:szCs w:val="20"/>
                <w:lang w:eastAsia="en-GB"/>
              </w:rPr>
              <w:t>1</w:t>
            </w:r>
          </w:p>
        </w:tc>
        <w:tc>
          <w:tcPr>
            <w:tcW w:w="1662" w:type="dxa"/>
            <w:tcBorders>
              <w:top w:val="nil"/>
              <w:left w:val="nil"/>
              <w:bottom w:val="single" w:sz="4" w:space="0" w:color="auto"/>
              <w:right w:val="single" w:sz="4" w:space="0" w:color="auto"/>
            </w:tcBorders>
            <w:shd w:val="clear" w:color="auto" w:fill="auto"/>
            <w:vAlign w:val="center"/>
            <w:hideMark/>
          </w:tcPr>
          <w:p w14:paraId="5F02E2B3" w14:textId="7BD609F0"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950.5</w:t>
            </w:r>
          </w:p>
        </w:tc>
        <w:tc>
          <w:tcPr>
            <w:tcW w:w="1662" w:type="dxa"/>
            <w:tcBorders>
              <w:top w:val="nil"/>
              <w:left w:val="nil"/>
              <w:bottom w:val="single" w:sz="4" w:space="0" w:color="auto"/>
              <w:right w:val="single" w:sz="4" w:space="0" w:color="auto"/>
            </w:tcBorders>
            <w:shd w:val="clear" w:color="auto" w:fill="auto"/>
            <w:vAlign w:val="center"/>
          </w:tcPr>
          <w:p w14:paraId="0CBFE092" w14:textId="33C3A239" w:rsidR="006E523C" w:rsidRPr="00CD11DE" w:rsidRDefault="00390C00" w:rsidP="006E523C">
            <w:pPr>
              <w:keepLines w:val="0"/>
              <w:spacing w:after="0" w:line="240" w:lineRule="auto"/>
              <w:jc w:val="right"/>
              <w:rPr>
                <w:rFonts w:eastAsia="Times New Roman"/>
                <w:sz w:val="20"/>
                <w:szCs w:val="20"/>
                <w:lang w:eastAsia="en-GB"/>
              </w:rPr>
            </w:pPr>
            <w:r>
              <w:rPr>
                <w:rFonts w:eastAsia="Times New Roman"/>
                <w:sz w:val="20"/>
                <w:szCs w:val="20"/>
                <w:lang w:eastAsia="en-GB"/>
              </w:rPr>
              <w:t>94.</w:t>
            </w:r>
            <w:r w:rsidR="00267254">
              <w:rPr>
                <w:rFonts w:eastAsia="Times New Roman"/>
                <w:sz w:val="20"/>
                <w:szCs w:val="20"/>
                <w:lang w:eastAsia="en-GB"/>
              </w:rPr>
              <w:t>7</w:t>
            </w:r>
          </w:p>
        </w:tc>
      </w:tr>
      <w:tr w:rsidR="006E523C" w:rsidRPr="00CD11DE" w14:paraId="076EAA24"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74ED1446" w14:textId="77777777" w:rsidR="006E523C" w:rsidRPr="00CD11DE" w:rsidRDefault="006E523C" w:rsidP="007E053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6</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462FBDD0" w14:textId="77777777" w:rsidR="006E523C" w:rsidRPr="00CD11DE" w:rsidRDefault="006E523C" w:rsidP="006E523C">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xml:space="preserve">Counterparty credit risk - CCR </w:t>
            </w:r>
          </w:p>
        </w:tc>
        <w:tc>
          <w:tcPr>
            <w:tcW w:w="1662" w:type="dxa"/>
            <w:tcBorders>
              <w:top w:val="nil"/>
              <w:left w:val="nil"/>
              <w:bottom w:val="single" w:sz="4" w:space="0" w:color="auto"/>
              <w:right w:val="single" w:sz="4" w:space="0" w:color="auto"/>
            </w:tcBorders>
            <w:shd w:val="clear" w:color="auto" w:fill="06B1D6" w:themeFill="accent1"/>
            <w:vAlign w:val="center"/>
          </w:tcPr>
          <w:p w14:paraId="30919C1F" w14:textId="0C7B1A7F" w:rsidR="006E523C" w:rsidRPr="00CD11DE" w:rsidRDefault="00716939" w:rsidP="006E523C">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6.4</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5D1F16A5" w14:textId="69B434A7" w:rsidR="006E523C" w:rsidRPr="00CD11DE" w:rsidRDefault="006E523C" w:rsidP="006E523C">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3.2</w:t>
            </w:r>
          </w:p>
        </w:tc>
        <w:tc>
          <w:tcPr>
            <w:tcW w:w="1662" w:type="dxa"/>
            <w:tcBorders>
              <w:top w:val="nil"/>
              <w:left w:val="nil"/>
              <w:bottom w:val="single" w:sz="4" w:space="0" w:color="auto"/>
              <w:right w:val="single" w:sz="4" w:space="0" w:color="auto"/>
            </w:tcBorders>
            <w:shd w:val="clear" w:color="auto" w:fill="06B1D6" w:themeFill="accent1"/>
            <w:vAlign w:val="center"/>
          </w:tcPr>
          <w:p w14:paraId="0CB4996D" w14:textId="70F727DD" w:rsidR="006E523C" w:rsidRPr="00CD11DE" w:rsidRDefault="00390C00" w:rsidP="006E523C">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0.</w:t>
            </w:r>
            <w:r w:rsidR="00716939">
              <w:rPr>
                <w:rFonts w:eastAsia="Times New Roman"/>
                <w:b/>
                <w:bCs/>
                <w:color w:val="FFFFFF"/>
                <w:sz w:val="20"/>
                <w:szCs w:val="20"/>
                <w:lang w:eastAsia="en-GB"/>
              </w:rPr>
              <w:t>5</w:t>
            </w:r>
          </w:p>
        </w:tc>
      </w:tr>
      <w:tr w:rsidR="006E523C" w:rsidRPr="00CD11DE" w14:paraId="60422ADC" w14:textId="77777777" w:rsidTr="007E053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B81DBC1" w14:textId="77777777" w:rsidR="006E523C" w:rsidRPr="00CD11DE" w:rsidRDefault="006E523C" w:rsidP="005678C8">
            <w:pPr>
              <w:keepLines w:val="0"/>
              <w:spacing w:after="0" w:line="240" w:lineRule="auto"/>
              <w:jc w:val="left"/>
              <w:rPr>
                <w:rFonts w:eastAsia="Times New Roman"/>
                <w:sz w:val="20"/>
                <w:szCs w:val="20"/>
                <w:lang w:eastAsia="en-GB"/>
              </w:rPr>
            </w:pPr>
            <w:r w:rsidRPr="00CD11DE">
              <w:rPr>
                <w:rFonts w:eastAsia="Times New Roman"/>
                <w:sz w:val="20"/>
                <w:szCs w:val="20"/>
                <w:lang w:eastAsia="en-GB"/>
              </w:rPr>
              <w:t>7</w:t>
            </w:r>
          </w:p>
        </w:tc>
        <w:tc>
          <w:tcPr>
            <w:tcW w:w="7796" w:type="dxa"/>
            <w:tcBorders>
              <w:top w:val="nil"/>
              <w:left w:val="nil"/>
              <w:bottom w:val="single" w:sz="4" w:space="0" w:color="auto"/>
              <w:right w:val="single" w:sz="4" w:space="0" w:color="auto"/>
            </w:tcBorders>
            <w:shd w:val="clear" w:color="auto" w:fill="auto"/>
            <w:vAlign w:val="center"/>
            <w:hideMark/>
          </w:tcPr>
          <w:p w14:paraId="7FD8492F" w14:textId="77777777" w:rsidR="006E523C" w:rsidRPr="00CD11DE" w:rsidRDefault="006E523C" w:rsidP="006E523C">
            <w:pPr>
              <w:keepLines w:val="0"/>
              <w:spacing w:after="0" w:line="240" w:lineRule="auto"/>
              <w:ind w:firstLineChars="100" w:firstLine="200"/>
              <w:jc w:val="left"/>
              <w:rPr>
                <w:rFonts w:eastAsia="Times New Roman"/>
                <w:sz w:val="20"/>
                <w:szCs w:val="20"/>
                <w:lang w:eastAsia="en-GB"/>
              </w:rPr>
            </w:pPr>
            <w:r w:rsidRPr="00CD11DE">
              <w:rPr>
                <w:rFonts w:eastAsia="Times New Roman"/>
                <w:sz w:val="20"/>
                <w:szCs w:val="20"/>
                <w:lang w:eastAsia="en-GB"/>
              </w:rPr>
              <w:t xml:space="preserve">Of which the standardised approach </w:t>
            </w:r>
          </w:p>
        </w:tc>
        <w:tc>
          <w:tcPr>
            <w:tcW w:w="1662" w:type="dxa"/>
            <w:tcBorders>
              <w:top w:val="nil"/>
              <w:left w:val="nil"/>
              <w:bottom w:val="single" w:sz="4" w:space="0" w:color="auto"/>
              <w:right w:val="single" w:sz="4" w:space="0" w:color="auto"/>
            </w:tcBorders>
            <w:shd w:val="clear" w:color="auto" w:fill="auto"/>
            <w:vAlign w:val="center"/>
          </w:tcPr>
          <w:p w14:paraId="277C9A9E" w14:textId="54C13ABA" w:rsidR="006E523C" w:rsidRPr="00CD11DE" w:rsidRDefault="00390C00" w:rsidP="006E523C">
            <w:pPr>
              <w:keepLines w:val="0"/>
              <w:spacing w:after="0" w:line="240" w:lineRule="auto"/>
              <w:jc w:val="right"/>
              <w:rPr>
                <w:rFonts w:eastAsia="Times New Roman"/>
                <w:sz w:val="20"/>
                <w:szCs w:val="20"/>
                <w:lang w:eastAsia="en-GB"/>
              </w:rPr>
            </w:pPr>
            <w:r>
              <w:rPr>
                <w:rFonts w:eastAsia="Times New Roman"/>
                <w:sz w:val="20"/>
                <w:szCs w:val="20"/>
                <w:lang w:eastAsia="en-GB"/>
              </w:rPr>
              <w:t>3.1</w:t>
            </w:r>
          </w:p>
        </w:tc>
        <w:tc>
          <w:tcPr>
            <w:tcW w:w="1662" w:type="dxa"/>
            <w:tcBorders>
              <w:top w:val="nil"/>
              <w:left w:val="nil"/>
              <w:bottom w:val="single" w:sz="4" w:space="0" w:color="auto"/>
              <w:right w:val="single" w:sz="4" w:space="0" w:color="auto"/>
            </w:tcBorders>
            <w:shd w:val="clear" w:color="auto" w:fill="auto"/>
            <w:vAlign w:val="center"/>
            <w:hideMark/>
          </w:tcPr>
          <w:p w14:paraId="724473B1" w14:textId="13F6CBB6" w:rsidR="006E523C" w:rsidRPr="00CD11DE" w:rsidRDefault="006E523C" w:rsidP="006E523C">
            <w:pPr>
              <w:keepLines w:val="0"/>
              <w:spacing w:after="0" w:line="240" w:lineRule="auto"/>
              <w:jc w:val="right"/>
              <w:rPr>
                <w:rFonts w:eastAsia="Times New Roman"/>
                <w:sz w:val="20"/>
                <w:szCs w:val="20"/>
                <w:lang w:eastAsia="en-GB"/>
              </w:rPr>
            </w:pPr>
            <w:r w:rsidRPr="00CD11DE">
              <w:rPr>
                <w:rFonts w:eastAsia="Times New Roman"/>
                <w:sz w:val="20"/>
                <w:szCs w:val="20"/>
                <w:lang w:eastAsia="en-GB"/>
              </w:rPr>
              <w:t>3.2</w:t>
            </w:r>
          </w:p>
        </w:tc>
        <w:tc>
          <w:tcPr>
            <w:tcW w:w="1662" w:type="dxa"/>
            <w:tcBorders>
              <w:top w:val="nil"/>
              <w:left w:val="nil"/>
              <w:bottom w:val="single" w:sz="4" w:space="0" w:color="auto"/>
              <w:right w:val="single" w:sz="4" w:space="0" w:color="auto"/>
            </w:tcBorders>
            <w:shd w:val="clear" w:color="auto" w:fill="auto"/>
            <w:vAlign w:val="center"/>
          </w:tcPr>
          <w:p w14:paraId="47173467" w14:textId="7DF1CC4C" w:rsidR="006E523C" w:rsidRPr="00CD11DE" w:rsidRDefault="00390C00" w:rsidP="006E523C">
            <w:pPr>
              <w:keepLines w:val="0"/>
              <w:spacing w:after="0" w:line="240" w:lineRule="auto"/>
              <w:jc w:val="right"/>
              <w:rPr>
                <w:rFonts w:eastAsia="Times New Roman"/>
                <w:sz w:val="20"/>
                <w:szCs w:val="20"/>
                <w:lang w:eastAsia="en-GB"/>
              </w:rPr>
            </w:pPr>
            <w:r>
              <w:rPr>
                <w:rFonts w:eastAsia="Times New Roman"/>
                <w:sz w:val="20"/>
                <w:szCs w:val="20"/>
                <w:lang w:eastAsia="en-GB"/>
              </w:rPr>
              <w:t>0.2</w:t>
            </w:r>
          </w:p>
        </w:tc>
      </w:tr>
      <w:tr w:rsidR="005678C8" w:rsidRPr="00CD11DE" w14:paraId="1D141338" w14:textId="77777777" w:rsidTr="007E0530">
        <w:trPr>
          <w:trHeight w:val="300"/>
        </w:trPr>
        <w:tc>
          <w:tcPr>
            <w:tcW w:w="993" w:type="dxa"/>
            <w:tcBorders>
              <w:top w:val="nil"/>
              <w:left w:val="single" w:sz="4" w:space="0" w:color="auto"/>
              <w:bottom w:val="single" w:sz="4" w:space="0" w:color="auto"/>
              <w:right w:val="single" w:sz="4" w:space="0" w:color="auto"/>
            </w:tcBorders>
            <w:shd w:val="clear" w:color="auto" w:fill="auto"/>
            <w:vAlign w:val="center"/>
          </w:tcPr>
          <w:p w14:paraId="486DB92B" w14:textId="72E6E025" w:rsidR="005678C8" w:rsidRPr="00CD11DE" w:rsidRDefault="005678C8" w:rsidP="005678C8">
            <w:pPr>
              <w:keepLines w:val="0"/>
              <w:spacing w:after="0" w:line="240" w:lineRule="auto"/>
              <w:jc w:val="left"/>
              <w:rPr>
                <w:rFonts w:eastAsia="Times New Roman"/>
                <w:sz w:val="20"/>
                <w:szCs w:val="20"/>
                <w:lang w:eastAsia="en-GB"/>
              </w:rPr>
            </w:pPr>
            <w:r>
              <w:rPr>
                <w:rFonts w:eastAsia="Times New Roman"/>
                <w:sz w:val="20"/>
                <w:szCs w:val="20"/>
                <w:lang w:eastAsia="en-GB"/>
              </w:rPr>
              <w:t>UK 8b</w:t>
            </w:r>
          </w:p>
        </w:tc>
        <w:tc>
          <w:tcPr>
            <w:tcW w:w="7796" w:type="dxa"/>
            <w:tcBorders>
              <w:top w:val="nil"/>
              <w:left w:val="nil"/>
              <w:bottom w:val="single" w:sz="4" w:space="0" w:color="auto"/>
              <w:right w:val="single" w:sz="4" w:space="0" w:color="auto"/>
            </w:tcBorders>
            <w:shd w:val="clear" w:color="auto" w:fill="auto"/>
            <w:vAlign w:val="center"/>
          </w:tcPr>
          <w:p w14:paraId="34658AA7" w14:textId="3B76C938" w:rsidR="005678C8" w:rsidRPr="00CD11DE" w:rsidRDefault="005678C8" w:rsidP="006E523C">
            <w:pPr>
              <w:keepLines w:val="0"/>
              <w:spacing w:after="0" w:line="240" w:lineRule="auto"/>
              <w:ind w:firstLineChars="100" w:firstLine="200"/>
              <w:jc w:val="left"/>
              <w:rPr>
                <w:rFonts w:eastAsia="Times New Roman"/>
                <w:sz w:val="20"/>
                <w:szCs w:val="20"/>
                <w:lang w:eastAsia="en-GB"/>
              </w:rPr>
            </w:pPr>
            <w:r w:rsidRPr="005678C8">
              <w:rPr>
                <w:rFonts w:eastAsia="Times New Roman"/>
                <w:sz w:val="20"/>
                <w:szCs w:val="20"/>
                <w:lang w:eastAsia="en-GB"/>
              </w:rPr>
              <w:t>Of which credit valuation adjustment - CVA</w:t>
            </w:r>
          </w:p>
        </w:tc>
        <w:tc>
          <w:tcPr>
            <w:tcW w:w="1662" w:type="dxa"/>
            <w:tcBorders>
              <w:top w:val="nil"/>
              <w:left w:val="nil"/>
              <w:bottom w:val="single" w:sz="4" w:space="0" w:color="auto"/>
              <w:right w:val="single" w:sz="4" w:space="0" w:color="auto"/>
            </w:tcBorders>
            <w:shd w:val="clear" w:color="auto" w:fill="auto"/>
            <w:vAlign w:val="center"/>
          </w:tcPr>
          <w:p w14:paraId="3684EEF4" w14:textId="7D43F8A6" w:rsidR="005678C8" w:rsidRDefault="00716939" w:rsidP="006E523C">
            <w:pPr>
              <w:keepLines w:val="0"/>
              <w:spacing w:after="0" w:line="240" w:lineRule="auto"/>
              <w:jc w:val="right"/>
              <w:rPr>
                <w:rFonts w:eastAsia="Times New Roman"/>
                <w:sz w:val="20"/>
                <w:szCs w:val="20"/>
                <w:lang w:eastAsia="en-GB"/>
              </w:rPr>
            </w:pPr>
            <w:r>
              <w:rPr>
                <w:rFonts w:eastAsia="Times New Roman"/>
                <w:sz w:val="20"/>
                <w:szCs w:val="20"/>
                <w:lang w:eastAsia="en-GB"/>
              </w:rPr>
              <w:t>3.3</w:t>
            </w:r>
          </w:p>
        </w:tc>
        <w:tc>
          <w:tcPr>
            <w:tcW w:w="1662" w:type="dxa"/>
            <w:tcBorders>
              <w:top w:val="nil"/>
              <w:left w:val="nil"/>
              <w:bottom w:val="single" w:sz="4" w:space="0" w:color="auto"/>
              <w:right w:val="single" w:sz="4" w:space="0" w:color="auto"/>
            </w:tcBorders>
            <w:shd w:val="clear" w:color="auto" w:fill="auto"/>
            <w:vAlign w:val="center"/>
          </w:tcPr>
          <w:p w14:paraId="24CFC8A8" w14:textId="2CC6DF5E" w:rsidR="005678C8" w:rsidRPr="00CD11DE" w:rsidRDefault="005678C8" w:rsidP="006E523C">
            <w:pPr>
              <w:keepLines w:val="0"/>
              <w:spacing w:after="0" w:line="240" w:lineRule="auto"/>
              <w:jc w:val="right"/>
              <w:rPr>
                <w:rFonts w:eastAsia="Times New Roman"/>
                <w:sz w:val="20"/>
                <w:szCs w:val="20"/>
                <w:lang w:eastAsia="en-GB"/>
              </w:rPr>
            </w:pPr>
            <w:r>
              <w:rPr>
                <w:rFonts w:eastAsia="Times New Roman"/>
                <w:sz w:val="20"/>
                <w:szCs w:val="20"/>
                <w:lang w:eastAsia="en-GB"/>
              </w:rPr>
              <w:t>-</w:t>
            </w:r>
          </w:p>
        </w:tc>
        <w:tc>
          <w:tcPr>
            <w:tcW w:w="1662" w:type="dxa"/>
            <w:tcBorders>
              <w:top w:val="nil"/>
              <w:left w:val="nil"/>
              <w:bottom w:val="single" w:sz="4" w:space="0" w:color="auto"/>
              <w:right w:val="single" w:sz="4" w:space="0" w:color="auto"/>
            </w:tcBorders>
            <w:shd w:val="clear" w:color="auto" w:fill="auto"/>
            <w:vAlign w:val="center"/>
          </w:tcPr>
          <w:p w14:paraId="5251897B" w14:textId="108B3E66" w:rsidR="005678C8" w:rsidRDefault="00716939" w:rsidP="006E523C">
            <w:pPr>
              <w:keepLines w:val="0"/>
              <w:spacing w:after="0" w:line="240" w:lineRule="auto"/>
              <w:jc w:val="right"/>
              <w:rPr>
                <w:rFonts w:eastAsia="Times New Roman"/>
                <w:sz w:val="20"/>
                <w:szCs w:val="20"/>
                <w:lang w:eastAsia="en-GB"/>
              </w:rPr>
            </w:pPr>
            <w:r>
              <w:rPr>
                <w:rFonts w:eastAsia="Times New Roman"/>
                <w:sz w:val="20"/>
                <w:szCs w:val="20"/>
                <w:lang w:eastAsia="en-GB"/>
              </w:rPr>
              <w:t>0.3</w:t>
            </w:r>
          </w:p>
        </w:tc>
      </w:tr>
      <w:tr w:rsidR="00390C00" w:rsidRPr="00CD11DE" w14:paraId="06E42A69"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1F8EF0AD" w14:textId="77777777" w:rsidR="00390C00" w:rsidRPr="00CD11DE" w:rsidRDefault="00390C00" w:rsidP="007E053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15</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49B3EB86"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xml:space="preserve">Settlement risk </w:t>
            </w:r>
          </w:p>
        </w:tc>
        <w:tc>
          <w:tcPr>
            <w:tcW w:w="1662" w:type="dxa"/>
            <w:tcBorders>
              <w:top w:val="nil"/>
              <w:left w:val="nil"/>
              <w:bottom w:val="single" w:sz="4" w:space="0" w:color="auto"/>
              <w:right w:val="single" w:sz="4" w:space="0" w:color="auto"/>
            </w:tcBorders>
            <w:shd w:val="clear" w:color="auto" w:fill="06B1D6" w:themeFill="accent1"/>
            <w:vAlign w:val="center"/>
          </w:tcPr>
          <w:p w14:paraId="165F42E2" w14:textId="40376EE1"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5F958B5A" w14:textId="29A57D8A"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tcPr>
          <w:p w14:paraId="070FDED4" w14:textId="4CCDDBC4" w:rsidR="00390C00" w:rsidRPr="00CD11DE" w:rsidRDefault="00390C00" w:rsidP="00390C00">
            <w:pPr>
              <w:keepLines w:val="0"/>
              <w:spacing w:after="0" w:line="240" w:lineRule="auto"/>
              <w:jc w:val="right"/>
              <w:rPr>
                <w:rFonts w:eastAsia="Times New Roman"/>
                <w:b/>
                <w:bCs/>
                <w:color w:val="FFFFFF"/>
                <w:sz w:val="20"/>
                <w:szCs w:val="20"/>
                <w:lang w:eastAsia="en-GB"/>
              </w:rPr>
            </w:pPr>
            <w:r w:rsidRPr="00DA03A7">
              <w:rPr>
                <w:rFonts w:eastAsia="Times New Roman"/>
                <w:b/>
                <w:bCs/>
                <w:color w:val="FFFFFF"/>
                <w:sz w:val="20"/>
                <w:szCs w:val="20"/>
                <w:lang w:eastAsia="en-GB"/>
              </w:rPr>
              <w:t>-</w:t>
            </w:r>
          </w:p>
        </w:tc>
      </w:tr>
      <w:tr w:rsidR="00390C00" w:rsidRPr="00CD11DE" w14:paraId="6239BB1B"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7A3BA4E1" w14:textId="77777777" w:rsidR="00390C00" w:rsidRPr="00CD11DE" w:rsidRDefault="00390C00" w:rsidP="005678C8">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16</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5D31486B"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Securitisation exposures in the non-trading book (after the cap)</w:t>
            </w:r>
          </w:p>
        </w:tc>
        <w:tc>
          <w:tcPr>
            <w:tcW w:w="1662" w:type="dxa"/>
            <w:tcBorders>
              <w:top w:val="nil"/>
              <w:left w:val="nil"/>
              <w:bottom w:val="single" w:sz="4" w:space="0" w:color="auto"/>
              <w:right w:val="single" w:sz="4" w:space="0" w:color="auto"/>
            </w:tcBorders>
            <w:shd w:val="clear" w:color="auto" w:fill="06B1D6" w:themeFill="accent1"/>
            <w:vAlign w:val="center"/>
          </w:tcPr>
          <w:p w14:paraId="46B4144D" w14:textId="1074D6BB"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057BA93D" w14:textId="6D5E8651"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tcPr>
          <w:p w14:paraId="741845C6" w14:textId="5E53CF14" w:rsidR="00390C00" w:rsidRPr="00CD11DE" w:rsidRDefault="00390C00" w:rsidP="00390C00">
            <w:pPr>
              <w:keepLines w:val="0"/>
              <w:spacing w:after="0" w:line="240" w:lineRule="auto"/>
              <w:jc w:val="right"/>
              <w:rPr>
                <w:rFonts w:eastAsia="Times New Roman"/>
                <w:b/>
                <w:bCs/>
                <w:color w:val="FFFFFF"/>
                <w:sz w:val="20"/>
                <w:szCs w:val="20"/>
                <w:lang w:eastAsia="en-GB"/>
              </w:rPr>
            </w:pPr>
            <w:r w:rsidRPr="00DA03A7">
              <w:rPr>
                <w:rFonts w:eastAsia="Times New Roman"/>
                <w:b/>
                <w:bCs/>
                <w:color w:val="FFFFFF"/>
                <w:sz w:val="20"/>
                <w:szCs w:val="20"/>
                <w:lang w:eastAsia="en-GB"/>
              </w:rPr>
              <w:t>-</w:t>
            </w:r>
          </w:p>
        </w:tc>
      </w:tr>
      <w:tr w:rsidR="00390C00" w:rsidRPr="00CD11DE" w14:paraId="23055593"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6EA89583" w14:textId="77777777" w:rsidR="00390C00" w:rsidRPr="00CD11DE" w:rsidRDefault="00390C00" w:rsidP="007E053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20</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547CAEA3"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Position, foreign exchange and commodities risks (Market risk)</w:t>
            </w:r>
          </w:p>
        </w:tc>
        <w:tc>
          <w:tcPr>
            <w:tcW w:w="1662" w:type="dxa"/>
            <w:tcBorders>
              <w:top w:val="nil"/>
              <w:left w:val="nil"/>
              <w:bottom w:val="single" w:sz="4" w:space="0" w:color="auto"/>
              <w:right w:val="single" w:sz="4" w:space="0" w:color="auto"/>
            </w:tcBorders>
            <w:shd w:val="clear" w:color="auto" w:fill="06B1D6" w:themeFill="accent1"/>
            <w:vAlign w:val="center"/>
          </w:tcPr>
          <w:p w14:paraId="4E447A5B" w14:textId="503C23A2"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3416D86A" w14:textId="2E2FD0E0"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tcPr>
          <w:p w14:paraId="6B792ECD" w14:textId="7B6CDEBD" w:rsidR="00390C00" w:rsidRPr="00CD11DE" w:rsidRDefault="00390C00" w:rsidP="00390C00">
            <w:pPr>
              <w:keepLines w:val="0"/>
              <w:spacing w:after="0" w:line="240" w:lineRule="auto"/>
              <w:jc w:val="right"/>
              <w:rPr>
                <w:rFonts w:eastAsia="Times New Roman"/>
                <w:b/>
                <w:bCs/>
                <w:color w:val="FFFFFF"/>
                <w:sz w:val="20"/>
                <w:szCs w:val="20"/>
                <w:lang w:eastAsia="en-GB"/>
              </w:rPr>
            </w:pPr>
            <w:r w:rsidRPr="00DA03A7">
              <w:rPr>
                <w:rFonts w:eastAsia="Times New Roman"/>
                <w:b/>
                <w:bCs/>
                <w:color w:val="FFFFFF"/>
                <w:sz w:val="20"/>
                <w:szCs w:val="20"/>
                <w:lang w:eastAsia="en-GB"/>
              </w:rPr>
              <w:t>-</w:t>
            </w:r>
          </w:p>
        </w:tc>
      </w:tr>
      <w:tr w:rsidR="00390C00" w:rsidRPr="00CD11DE" w14:paraId="5C540D6F"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451E5DDC" w14:textId="77777777" w:rsidR="00390C00" w:rsidRPr="00CD11DE" w:rsidRDefault="00390C00" w:rsidP="007E053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UK 22a</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3903A9E6"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Large exposures</w:t>
            </w:r>
          </w:p>
        </w:tc>
        <w:tc>
          <w:tcPr>
            <w:tcW w:w="1662" w:type="dxa"/>
            <w:tcBorders>
              <w:top w:val="nil"/>
              <w:left w:val="nil"/>
              <w:bottom w:val="single" w:sz="4" w:space="0" w:color="auto"/>
              <w:right w:val="single" w:sz="4" w:space="0" w:color="auto"/>
            </w:tcBorders>
            <w:shd w:val="clear" w:color="auto" w:fill="06B1D6" w:themeFill="accent1"/>
            <w:vAlign w:val="center"/>
          </w:tcPr>
          <w:p w14:paraId="5C99A263" w14:textId="1AA9EFCC"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0CF794E6" w14:textId="046137C2"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tcPr>
          <w:p w14:paraId="1117E25F" w14:textId="20A4CE5E" w:rsidR="00390C00" w:rsidRPr="00CD11DE" w:rsidRDefault="00390C00" w:rsidP="00390C00">
            <w:pPr>
              <w:keepLines w:val="0"/>
              <w:spacing w:after="0" w:line="240" w:lineRule="auto"/>
              <w:jc w:val="right"/>
              <w:rPr>
                <w:rFonts w:eastAsia="Times New Roman"/>
                <w:b/>
                <w:bCs/>
                <w:color w:val="FFFFFF"/>
                <w:sz w:val="20"/>
                <w:szCs w:val="20"/>
                <w:lang w:eastAsia="en-GB"/>
              </w:rPr>
            </w:pPr>
            <w:r w:rsidRPr="00DA03A7">
              <w:rPr>
                <w:rFonts w:eastAsia="Times New Roman"/>
                <w:b/>
                <w:bCs/>
                <w:color w:val="FFFFFF"/>
                <w:sz w:val="20"/>
                <w:szCs w:val="20"/>
                <w:lang w:eastAsia="en-GB"/>
              </w:rPr>
              <w:t>-</w:t>
            </w:r>
          </w:p>
        </w:tc>
      </w:tr>
      <w:tr w:rsidR="00390C00" w:rsidRPr="00CD11DE" w14:paraId="6253F900"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1F943AA3" w14:textId="77777777" w:rsidR="00390C00" w:rsidRPr="00CD11DE" w:rsidRDefault="00390C00" w:rsidP="005678C8">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23</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149A347E"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 xml:space="preserve">Operational risk </w:t>
            </w:r>
          </w:p>
        </w:tc>
        <w:tc>
          <w:tcPr>
            <w:tcW w:w="1662" w:type="dxa"/>
            <w:tcBorders>
              <w:top w:val="nil"/>
              <w:left w:val="nil"/>
              <w:bottom w:val="single" w:sz="4" w:space="0" w:color="auto"/>
              <w:right w:val="single" w:sz="4" w:space="0" w:color="auto"/>
            </w:tcBorders>
            <w:shd w:val="clear" w:color="auto" w:fill="06B1D6" w:themeFill="accent1"/>
            <w:vAlign w:val="center"/>
          </w:tcPr>
          <w:p w14:paraId="7ADC7EDE" w14:textId="6D8DAB29" w:rsidR="00390C00" w:rsidRPr="00CD11DE" w:rsidRDefault="00390C00" w:rsidP="00390C00">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117.3</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77FBF438" w14:textId="6EEC3AE1"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105.4</w:t>
            </w:r>
          </w:p>
        </w:tc>
        <w:tc>
          <w:tcPr>
            <w:tcW w:w="1662" w:type="dxa"/>
            <w:tcBorders>
              <w:top w:val="nil"/>
              <w:left w:val="nil"/>
              <w:bottom w:val="single" w:sz="4" w:space="0" w:color="auto"/>
              <w:right w:val="single" w:sz="4" w:space="0" w:color="auto"/>
            </w:tcBorders>
            <w:shd w:val="clear" w:color="auto" w:fill="06B1D6" w:themeFill="accent1"/>
            <w:vAlign w:val="center"/>
          </w:tcPr>
          <w:p w14:paraId="17D50600" w14:textId="779BB4A8" w:rsidR="00390C00" w:rsidRPr="00CD11DE" w:rsidRDefault="00390C00" w:rsidP="00390C00">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9.4</w:t>
            </w:r>
          </w:p>
        </w:tc>
      </w:tr>
      <w:tr w:rsidR="00390C00" w:rsidRPr="00CD11DE" w14:paraId="410CDDA9" w14:textId="77777777" w:rsidTr="007E053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A846E62" w14:textId="77777777" w:rsidR="00390C00" w:rsidRPr="00CD11DE" w:rsidRDefault="00390C00" w:rsidP="005678C8">
            <w:pPr>
              <w:keepLines w:val="0"/>
              <w:spacing w:after="0" w:line="240" w:lineRule="auto"/>
              <w:jc w:val="left"/>
              <w:rPr>
                <w:rFonts w:eastAsia="Times New Roman"/>
                <w:sz w:val="20"/>
                <w:szCs w:val="20"/>
                <w:lang w:eastAsia="en-GB"/>
              </w:rPr>
            </w:pPr>
            <w:r w:rsidRPr="00CD11DE">
              <w:rPr>
                <w:rFonts w:eastAsia="Times New Roman"/>
                <w:sz w:val="20"/>
                <w:szCs w:val="20"/>
                <w:lang w:eastAsia="en-GB"/>
              </w:rPr>
              <w:t>UK 23a</w:t>
            </w:r>
          </w:p>
        </w:tc>
        <w:tc>
          <w:tcPr>
            <w:tcW w:w="7796" w:type="dxa"/>
            <w:tcBorders>
              <w:top w:val="nil"/>
              <w:left w:val="nil"/>
              <w:bottom w:val="single" w:sz="4" w:space="0" w:color="auto"/>
              <w:right w:val="single" w:sz="4" w:space="0" w:color="auto"/>
            </w:tcBorders>
            <w:shd w:val="clear" w:color="auto" w:fill="auto"/>
            <w:vAlign w:val="center"/>
            <w:hideMark/>
          </w:tcPr>
          <w:p w14:paraId="558B8955" w14:textId="77777777" w:rsidR="00390C00" w:rsidRPr="00CD11DE" w:rsidRDefault="00390C00" w:rsidP="00390C00">
            <w:pPr>
              <w:keepLines w:val="0"/>
              <w:spacing w:after="0" w:line="240" w:lineRule="auto"/>
              <w:jc w:val="left"/>
              <w:rPr>
                <w:rFonts w:eastAsia="Times New Roman"/>
                <w:sz w:val="20"/>
                <w:szCs w:val="20"/>
                <w:lang w:eastAsia="en-GB"/>
              </w:rPr>
            </w:pPr>
            <w:r w:rsidRPr="00CD11DE">
              <w:rPr>
                <w:rFonts w:eastAsia="Times New Roman"/>
                <w:sz w:val="20"/>
                <w:szCs w:val="20"/>
                <w:lang w:eastAsia="en-GB"/>
              </w:rPr>
              <w:t xml:space="preserve">Of which basic indicator approach </w:t>
            </w:r>
          </w:p>
        </w:tc>
        <w:tc>
          <w:tcPr>
            <w:tcW w:w="1662" w:type="dxa"/>
            <w:tcBorders>
              <w:top w:val="nil"/>
              <w:left w:val="nil"/>
              <w:bottom w:val="single" w:sz="4" w:space="0" w:color="auto"/>
              <w:right w:val="single" w:sz="4" w:space="0" w:color="auto"/>
            </w:tcBorders>
            <w:shd w:val="clear" w:color="auto" w:fill="auto"/>
            <w:vAlign w:val="center"/>
          </w:tcPr>
          <w:p w14:paraId="652052A6" w14:textId="2B6E9907" w:rsidR="00390C00" w:rsidRPr="00CD11DE" w:rsidRDefault="00390C00" w:rsidP="00390C00">
            <w:pPr>
              <w:keepLines w:val="0"/>
              <w:spacing w:after="0" w:line="240" w:lineRule="auto"/>
              <w:jc w:val="right"/>
              <w:rPr>
                <w:rFonts w:eastAsia="Times New Roman"/>
                <w:sz w:val="20"/>
                <w:szCs w:val="20"/>
                <w:lang w:eastAsia="en-GB"/>
              </w:rPr>
            </w:pPr>
            <w:r>
              <w:rPr>
                <w:rFonts w:eastAsia="Times New Roman"/>
                <w:sz w:val="20"/>
                <w:szCs w:val="20"/>
                <w:lang w:eastAsia="en-GB"/>
              </w:rPr>
              <w:t>117.3</w:t>
            </w:r>
          </w:p>
        </w:tc>
        <w:tc>
          <w:tcPr>
            <w:tcW w:w="1662" w:type="dxa"/>
            <w:tcBorders>
              <w:top w:val="nil"/>
              <w:left w:val="nil"/>
              <w:bottom w:val="single" w:sz="4" w:space="0" w:color="auto"/>
              <w:right w:val="single" w:sz="4" w:space="0" w:color="auto"/>
            </w:tcBorders>
            <w:shd w:val="clear" w:color="auto" w:fill="auto"/>
            <w:vAlign w:val="center"/>
            <w:hideMark/>
          </w:tcPr>
          <w:p w14:paraId="240FA32B" w14:textId="4CF16F18" w:rsidR="00390C00" w:rsidRPr="00CD11DE" w:rsidRDefault="00390C00" w:rsidP="00390C00">
            <w:pPr>
              <w:keepLines w:val="0"/>
              <w:spacing w:after="0" w:line="240" w:lineRule="auto"/>
              <w:jc w:val="right"/>
              <w:rPr>
                <w:rFonts w:eastAsia="Times New Roman"/>
                <w:sz w:val="20"/>
                <w:szCs w:val="20"/>
                <w:lang w:eastAsia="en-GB"/>
              </w:rPr>
            </w:pPr>
            <w:r w:rsidRPr="00CD11DE">
              <w:rPr>
                <w:rFonts w:eastAsia="Times New Roman"/>
                <w:sz w:val="20"/>
                <w:szCs w:val="20"/>
                <w:lang w:eastAsia="en-GB"/>
              </w:rPr>
              <w:t>105.4</w:t>
            </w:r>
          </w:p>
        </w:tc>
        <w:tc>
          <w:tcPr>
            <w:tcW w:w="1662" w:type="dxa"/>
            <w:tcBorders>
              <w:top w:val="nil"/>
              <w:left w:val="nil"/>
              <w:bottom w:val="single" w:sz="4" w:space="0" w:color="auto"/>
              <w:right w:val="single" w:sz="4" w:space="0" w:color="auto"/>
            </w:tcBorders>
            <w:shd w:val="clear" w:color="auto" w:fill="auto"/>
            <w:vAlign w:val="center"/>
          </w:tcPr>
          <w:p w14:paraId="06F35B93" w14:textId="653FC57B" w:rsidR="00390C00" w:rsidRPr="00CD11DE" w:rsidRDefault="00390C00" w:rsidP="00390C00">
            <w:pPr>
              <w:keepLines w:val="0"/>
              <w:spacing w:after="0" w:line="240" w:lineRule="auto"/>
              <w:jc w:val="right"/>
              <w:rPr>
                <w:rFonts w:eastAsia="Times New Roman"/>
                <w:sz w:val="20"/>
                <w:szCs w:val="20"/>
                <w:lang w:eastAsia="en-GB"/>
              </w:rPr>
            </w:pPr>
            <w:r>
              <w:rPr>
                <w:rFonts w:eastAsia="Times New Roman"/>
                <w:sz w:val="20"/>
                <w:szCs w:val="20"/>
                <w:lang w:eastAsia="en-GB"/>
              </w:rPr>
              <w:t>9.4</w:t>
            </w:r>
          </w:p>
        </w:tc>
      </w:tr>
      <w:tr w:rsidR="00390C00" w:rsidRPr="00CD11DE" w14:paraId="1A1FE2C3" w14:textId="77777777" w:rsidTr="006F3279">
        <w:trPr>
          <w:trHeight w:val="51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18307038" w14:textId="77777777" w:rsidR="00390C00" w:rsidRPr="00CD11DE" w:rsidRDefault="00390C00" w:rsidP="007E053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24</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154DC2A7"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Amounts below the thresholds for deduction (subject</w:t>
            </w:r>
            <w:r w:rsidRPr="00CD11DE">
              <w:rPr>
                <w:rFonts w:eastAsia="Times New Roman"/>
                <w:b/>
                <w:bCs/>
                <w:color w:val="FFFFFF"/>
                <w:sz w:val="20"/>
                <w:szCs w:val="20"/>
                <w:lang w:eastAsia="en-GB"/>
              </w:rPr>
              <w:br/>
              <w:t>to 250% risk weight) (For information)</w:t>
            </w:r>
          </w:p>
        </w:tc>
        <w:tc>
          <w:tcPr>
            <w:tcW w:w="1662" w:type="dxa"/>
            <w:tcBorders>
              <w:top w:val="nil"/>
              <w:left w:val="nil"/>
              <w:bottom w:val="single" w:sz="4" w:space="0" w:color="auto"/>
              <w:right w:val="single" w:sz="4" w:space="0" w:color="auto"/>
            </w:tcBorders>
            <w:shd w:val="clear" w:color="auto" w:fill="06B1D6" w:themeFill="accent1"/>
            <w:vAlign w:val="center"/>
          </w:tcPr>
          <w:p w14:paraId="63313DE2" w14:textId="5A87F0C0"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731FF04C" w14:textId="2C2BD343"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c>
          <w:tcPr>
            <w:tcW w:w="1662" w:type="dxa"/>
            <w:tcBorders>
              <w:top w:val="nil"/>
              <w:left w:val="nil"/>
              <w:bottom w:val="single" w:sz="4" w:space="0" w:color="auto"/>
              <w:right w:val="single" w:sz="4" w:space="0" w:color="auto"/>
            </w:tcBorders>
            <w:shd w:val="clear" w:color="auto" w:fill="06B1D6" w:themeFill="accent1"/>
            <w:vAlign w:val="center"/>
          </w:tcPr>
          <w:p w14:paraId="2B5294B6" w14:textId="28547F31"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w:t>
            </w:r>
          </w:p>
        </w:tc>
      </w:tr>
      <w:tr w:rsidR="00390C00" w:rsidRPr="00CD11DE" w14:paraId="1B273893" w14:textId="77777777" w:rsidTr="006F3279">
        <w:trPr>
          <w:trHeight w:val="300"/>
        </w:trPr>
        <w:tc>
          <w:tcPr>
            <w:tcW w:w="993" w:type="dxa"/>
            <w:tcBorders>
              <w:top w:val="nil"/>
              <w:left w:val="single" w:sz="4" w:space="0" w:color="auto"/>
              <w:bottom w:val="single" w:sz="4" w:space="0" w:color="auto"/>
              <w:right w:val="single" w:sz="4" w:space="0" w:color="auto"/>
            </w:tcBorders>
            <w:shd w:val="clear" w:color="auto" w:fill="06B1D6" w:themeFill="accent1"/>
            <w:vAlign w:val="center"/>
            <w:hideMark/>
          </w:tcPr>
          <w:p w14:paraId="544B01BE" w14:textId="77777777" w:rsidR="00390C00" w:rsidRPr="00CD11DE" w:rsidRDefault="00390C00" w:rsidP="005678C8">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29</w:t>
            </w:r>
          </w:p>
        </w:tc>
        <w:tc>
          <w:tcPr>
            <w:tcW w:w="7796" w:type="dxa"/>
            <w:tcBorders>
              <w:top w:val="nil"/>
              <w:left w:val="nil"/>
              <w:bottom w:val="single" w:sz="4" w:space="0" w:color="auto"/>
              <w:right w:val="single" w:sz="4" w:space="0" w:color="auto"/>
            </w:tcBorders>
            <w:shd w:val="clear" w:color="auto" w:fill="06B1D6" w:themeFill="accent1"/>
            <w:vAlign w:val="center"/>
            <w:hideMark/>
          </w:tcPr>
          <w:p w14:paraId="5C8ECAFC" w14:textId="77777777" w:rsidR="00390C00" w:rsidRPr="00CD11DE" w:rsidRDefault="00390C00" w:rsidP="00390C00">
            <w:pPr>
              <w:keepLines w:val="0"/>
              <w:spacing w:after="0" w:line="240" w:lineRule="auto"/>
              <w:jc w:val="left"/>
              <w:rPr>
                <w:rFonts w:eastAsia="Times New Roman"/>
                <w:b/>
                <w:bCs/>
                <w:color w:val="FFFFFF"/>
                <w:sz w:val="20"/>
                <w:szCs w:val="20"/>
                <w:lang w:eastAsia="en-GB"/>
              </w:rPr>
            </w:pPr>
            <w:r w:rsidRPr="00CD11DE">
              <w:rPr>
                <w:rFonts w:eastAsia="Times New Roman"/>
                <w:b/>
                <w:bCs/>
                <w:color w:val="FFFFFF"/>
                <w:sz w:val="20"/>
                <w:szCs w:val="20"/>
                <w:lang w:eastAsia="en-GB"/>
              </w:rPr>
              <w:t>Total</w:t>
            </w:r>
          </w:p>
        </w:tc>
        <w:tc>
          <w:tcPr>
            <w:tcW w:w="1662" w:type="dxa"/>
            <w:tcBorders>
              <w:top w:val="nil"/>
              <w:left w:val="nil"/>
              <w:bottom w:val="single" w:sz="4" w:space="0" w:color="auto"/>
              <w:right w:val="single" w:sz="4" w:space="0" w:color="auto"/>
            </w:tcBorders>
            <w:shd w:val="clear" w:color="auto" w:fill="06B1D6" w:themeFill="accent1"/>
            <w:vAlign w:val="center"/>
          </w:tcPr>
          <w:p w14:paraId="6D0E1423" w14:textId="3992D637" w:rsidR="008C7125" w:rsidRPr="00CD11DE" w:rsidRDefault="00390C00" w:rsidP="008C7125">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1,</w:t>
            </w:r>
            <w:r w:rsidR="009F3D59">
              <w:rPr>
                <w:rFonts w:eastAsia="Times New Roman"/>
                <w:b/>
                <w:bCs/>
                <w:color w:val="FFFFFF"/>
                <w:sz w:val="20"/>
                <w:szCs w:val="20"/>
                <w:lang w:eastAsia="en-GB"/>
              </w:rPr>
              <w:t>307.</w:t>
            </w:r>
            <w:r w:rsidR="008C7125">
              <w:rPr>
                <w:rFonts w:eastAsia="Times New Roman"/>
                <w:b/>
                <w:bCs/>
                <w:color w:val="FFFFFF"/>
                <w:sz w:val="20"/>
                <w:szCs w:val="20"/>
                <w:lang w:eastAsia="en-GB"/>
              </w:rPr>
              <w:t>8</w:t>
            </w:r>
          </w:p>
        </w:tc>
        <w:tc>
          <w:tcPr>
            <w:tcW w:w="1662" w:type="dxa"/>
            <w:tcBorders>
              <w:top w:val="nil"/>
              <w:left w:val="nil"/>
              <w:bottom w:val="single" w:sz="4" w:space="0" w:color="auto"/>
              <w:right w:val="single" w:sz="4" w:space="0" w:color="auto"/>
            </w:tcBorders>
            <w:shd w:val="clear" w:color="auto" w:fill="06B1D6" w:themeFill="accent1"/>
            <w:vAlign w:val="center"/>
            <w:hideMark/>
          </w:tcPr>
          <w:p w14:paraId="502786D0" w14:textId="5130C5A2" w:rsidR="00390C00" w:rsidRPr="00CD11DE" w:rsidRDefault="00390C00" w:rsidP="00390C00">
            <w:pPr>
              <w:keepLines w:val="0"/>
              <w:spacing w:after="0" w:line="240" w:lineRule="auto"/>
              <w:jc w:val="right"/>
              <w:rPr>
                <w:rFonts w:eastAsia="Times New Roman"/>
                <w:b/>
                <w:bCs/>
                <w:color w:val="FFFFFF"/>
                <w:sz w:val="20"/>
                <w:szCs w:val="20"/>
                <w:lang w:eastAsia="en-GB"/>
              </w:rPr>
            </w:pPr>
            <w:r w:rsidRPr="00CD11DE">
              <w:rPr>
                <w:rFonts w:eastAsia="Times New Roman"/>
                <w:b/>
                <w:bCs/>
                <w:color w:val="FFFFFF"/>
                <w:sz w:val="20"/>
                <w:szCs w:val="20"/>
                <w:lang w:eastAsia="en-GB"/>
              </w:rPr>
              <w:t>1,059.1</w:t>
            </w:r>
          </w:p>
        </w:tc>
        <w:tc>
          <w:tcPr>
            <w:tcW w:w="1662" w:type="dxa"/>
            <w:tcBorders>
              <w:top w:val="nil"/>
              <w:left w:val="nil"/>
              <w:bottom w:val="single" w:sz="4" w:space="0" w:color="auto"/>
              <w:right w:val="single" w:sz="4" w:space="0" w:color="auto"/>
            </w:tcBorders>
            <w:shd w:val="clear" w:color="auto" w:fill="06B1D6" w:themeFill="accent1"/>
            <w:vAlign w:val="center"/>
          </w:tcPr>
          <w:p w14:paraId="176BBC65" w14:textId="394D2060" w:rsidR="00390C00" w:rsidRPr="00CD11DE" w:rsidRDefault="00390C00" w:rsidP="00390C00">
            <w:pPr>
              <w:keepLines w:val="0"/>
              <w:spacing w:after="0" w:line="240" w:lineRule="auto"/>
              <w:jc w:val="right"/>
              <w:rPr>
                <w:rFonts w:eastAsia="Times New Roman"/>
                <w:b/>
                <w:bCs/>
                <w:color w:val="FFFFFF"/>
                <w:sz w:val="20"/>
                <w:szCs w:val="20"/>
                <w:lang w:eastAsia="en-GB"/>
              </w:rPr>
            </w:pPr>
            <w:r>
              <w:rPr>
                <w:rFonts w:eastAsia="Times New Roman"/>
                <w:b/>
                <w:bCs/>
                <w:color w:val="FFFFFF"/>
                <w:sz w:val="20"/>
                <w:szCs w:val="20"/>
                <w:lang w:eastAsia="en-GB"/>
              </w:rPr>
              <w:t>10</w:t>
            </w:r>
            <w:r w:rsidR="00267254">
              <w:rPr>
                <w:rFonts w:eastAsia="Times New Roman"/>
                <w:b/>
                <w:bCs/>
                <w:color w:val="FFFFFF"/>
                <w:sz w:val="20"/>
                <w:szCs w:val="20"/>
                <w:lang w:eastAsia="en-GB"/>
              </w:rPr>
              <w:t>4</w:t>
            </w:r>
            <w:r>
              <w:rPr>
                <w:rFonts w:eastAsia="Times New Roman"/>
                <w:b/>
                <w:bCs/>
                <w:color w:val="FFFFFF"/>
                <w:sz w:val="20"/>
                <w:szCs w:val="20"/>
                <w:lang w:eastAsia="en-GB"/>
              </w:rPr>
              <w:t>.6</w:t>
            </w:r>
          </w:p>
        </w:tc>
      </w:tr>
    </w:tbl>
    <w:p w14:paraId="11048528" w14:textId="77777777" w:rsidR="0012767B" w:rsidRPr="00CD11DE" w:rsidRDefault="0012767B" w:rsidP="00204A8B">
      <w:pPr>
        <w:rPr>
          <w:sz w:val="18"/>
          <w:szCs w:val="18"/>
        </w:rPr>
        <w:sectPr w:rsidR="0012767B" w:rsidRPr="00CD11DE" w:rsidSect="00315AA6">
          <w:pgSz w:w="16838" w:h="11906" w:orient="landscape"/>
          <w:pgMar w:top="1440" w:right="1985" w:bottom="1429" w:left="1525" w:header="720" w:footer="720" w:gutter="0"/>
          <w:cols w:space="720"/>
          <w:titlePg/>
          <w:docGrid w:linePitch="299"/>
        </w:sectPr>
      </w:pPr>
    </w:p>
    <w:p w14:paraId="0DAF9A84" w14:textId="77777777" w:rsidR="00350AC0" w:rsidRPr="00C62D72" w:rsidRDefault="00350AC0" w:rsidP="00285B0B">
      <w:pPr>
        <w:pStyle w:val="Heading1"/>
        <w:rPr>
          <w:rFonts w:ascii="Arial" w:hAnsi="Arial"/>
          <w:lang w:val="en-GB"/>
        </w:rPr>
      </w:pPr>
      <w:bookmarkStart w:id="439" w:name="_Toc201575430"/>
      <w:r w:rsidRPr="00C62D72">
        <w:rPr>
          <w:rFonts w:ascii="Arial" w:hAnsi="Arial"/>
          <w:lang w:val="en-GB"/>
        </w:rPr>
        <w:lastRenderedPageBreak/>
        <w:t>Annex II</w:t>
      </w:r>
      <w:bookmarkEnd w:id="439"/>
    </w:p>
    <w:p w14:paraId="24C75FA5" w14:textId="77777777" w:rsidR="00350AC0" w:rsidRPr="00C62D72" w:rsidRDefault="00350AC0" w:rsidP="00350AC0">
      <w:pPr>
        <w:rPr>
          <w:b/>
          <w:bCs/>
          <w:sz w:val="20"/>
          <w:szCs w:val="20"/>
        </w:rPr>
      </w:pPr>
      <w:r w:rsidRPr="00C62D72">
        <w:rPr>
          <w:b/>
          <w:bCs/>
          <w:sz w:val="20"/>
          <w:szCs w:val="20"/>
        </w:rPr>
        <w:t>Impairment and provisions</w:t>
      </w:r>
    </w:p>
    <w:p w14:paraId="0FACFE6F" w14:textId="77777777" w:rsidR="00350AC0" w:rsidRPr="00C62D72" w:rsidRDefault="00350AC0" w:rsidP="00350AC0">
      <w:pPr>
        <w:rPr>
          <w:sz w:val="20"/>
          <w:szCs w:val="20"/>
        </w:rPr>
      </w:pPr>
      <w:r w:rsidRPr="00C62D72">
        <w:rPr>
          <w:sz w:val="20"/>
          <w:szCs w:val="20"/>
        </w:rPr>
        <w:t>Please see below a breakdown of past due exposures by asset class and movement in impairment provisions for the year.</w:t>
      </w:r>
    </w:p>
    <w:p w14:paraId="76FB82D5" w14:textId="4AC4A571" w:rsidR="004445B7" w:rsidRPr="00CD11DE" w:rsidRDefault="004445B7"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25</w:t>
      </w:r>
      <w:r w:rsidRPr="00CD11DE">
        <w:fldChar w:fldCharType="end"/>
      </w:r>
      <w:r w:rsidRPr="00CD11DE">
        <w:t xml:space="preserve">: Past due exposures for the year to 31 December </w:t>
      </w:r>
      <w:r w:rsidR="0023087C">
        <w:t>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508"/>
        <w:gridCol w:w="1508"/>
        <w:gridCol w:w="1508"/>
        <w:gridCol w:w="1508"/>
        <w:gridCol w:w="1508"/>
      </w:tblGrid>
      <w:tr w:rsidR="00041BD0" w:rsidRPr="00CD11DE" w14:paraId="6C89FA24" w14:textId="77777777" w:rsidTr="006F3279">
        <w:trPr>
          <w:trHeight w:val="542"/>
        </w:trPr>
        <w:tc>
          <w:tcPr>
            <w:tcW w:w="824" w:type="pct"/>
            <w:shd w:val="clear" w:color="auto" w:fill="06B1D6" w:themeFill="accent1"/>
            <w:vAlign w:val="center"/>
            <w:hideMark/>
          </w:tcPr>
          <w:p w14:paraId="5660A970" w14:textId="77777777" w:rsidR="00350AC0" w:rsidRPr="00CD11DE" w:rsidRDefault="00350AC0" w:rsidP="00C1159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w:t>
            </w:r>
          </w:p>
        </w:tc>
        <w:tc>
          <w:tcPr>
            <w:tcW w:w="835" w:type="pct"/>
            <w:shd w:val="clear" w:color="auto" w:fill="06B1D6" w:themeFill="accent1"/>
            <w:hideMark/>
          </w:tcPr>
          <w:p w14:paraId="55511B9B"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Treasury assets </w:t>
            </w:r>
          </w:p>
          <w:p w14:paraId="239CF50F"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35" w:type="pct"/>
            <w:shd w:val="clear" w:color="auto" w:fill="06B1D6" w:themeFill="accent1"/>
            <w:hideMark/>
          </w:tcPr>
          <w:p w14:paraId="5771FB91"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Investment securities</w:t>
            </w:r>
          </w:p>
          <w:p w14:paraId="4ACCCF94"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 (£m)</w:t>
            </w:r>
          </w:p>
        </w:tc>
        <w:tc>
          <w:tcPr>
            <w:tcW w:w="835" w:type="pct"/>
            <w:shd w:val="clear" w:color="auto" w:fill="06B1D6" w:themeFill="accent1"/>
            <w:hideMark/>
          </w:tcPr>
          <w:p w14:paraId="2E443BCE"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Commercial property finance </w:t>
            </w:r>
            <w:r w:rsidRPr="00CD11DE">
              <w:rPr>
                <w:rFonts w:eastAsia="Times New Roman"/>
                <w:b/>
                <w:bCs/>
                <w:color w:val="FFFFFF"/>
                <w:sz w:val="18"/>
                <w:szCs w:val="18"/>
              </w:rPr>
              <w:br/>
              <w:t>(£m)</w:t>
            </w:r>
          </w:p>
        </w:tc>
        <w:tc>
          <w:tcPr>
            <w:tcW w:w="835" w:type="pct"/>
            <w:shd w:val="clear" w:color="auto" w:fill="06B1D6" w:themeFill="accent1"/>
            <w:hideMark/>
          </w:tcPr>
          <w:p w14:paraId="0AB71BEA"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Home purchase </w:t>
            </w:r>
          </w:p>
          <w:p w14:paraId="2DB69DD3"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plans </w:t>
            </w:r>
            <w:r w:rsidRPr="00CD11DE">
              <w:rPr>
                <w:rFonts w:eastAsia="Times New Roman"/>
                <w:b/>
                <w:bCs/>
                <w:color w:val="FFFFFF"/>
                <w:sz w:val="18"/>
                <w:szCs w:val="18"/>
              </w:rPr>
              <w:br/>
              <w:t>(£m)</w:t>
            </w:r>
          </w:p>
        </w:tc>
        <w:tc>
          <w:tcPr>
            <w:tcW w:w="835" w:type="pct"/>
            <w:shd w:val="clear" w:color="auto" w:fill="06B1D6" w:themeFill="accent1"/>
            <w:hideMark/>
          </w:tcPr>
          <w:p w14:paraId="51D17BDF"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r w:rsidRPr="00CD11DE">
              <w:rPr>
                <w:rFonts w:eastAsia="Times New Roman"/>
                <w:b/>
                <w:bCs/>
                <w:color w:val="FFFFFF"/>
                <w:sz w:val="18"/>
                <w:szCs w:val="18"/>
              </w:rPr>
              <w:br/>
              <w:t>(£m)</w:t>
            </w:r>
          </w:p>
        </w:tc>
      </w:tr>
      <w:tr w:rsidR="00390C00" w:rsidRPr="00CD11DE" w14:paraId="5C72B7A4" w14:textId="77777777" w:rsidTr="006F3279">
        <w:trPr>
          <w:trHeight w:val="274"/>
        </w:trPr>
        <w:tc>
          <w:tcPr>
            <w:tcW w:w="824" w:type="pct"/>
            <w:shd w:val="clear" w:color="auto" w:fill="06B1D6" w:themeFill="accent1"/>
            <w:vAlign w:val="center"/>
            <w:hideMark/>
          </w:tcPr>
          <w:p w14:paraId="044E3902"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Neither past due nor impaired</w:t>
            </w:r>
          </w:p>
        </w:tc>
        <w:tc>
          <w:tcPr>
            <w:tcW w:w="835" w:type="pct"/>
            <w:shd w:val="clear" w:color="auto" w:fill="auto"/>
          </w:tcPr>
          <w:p w14:paraId="47EDB401" w14:textId="5BEA6864" w:rsidR="00390C00" w:rsidRPr="00390C00" w:rsidRDefault="00390C00" w:rsidP="00390C00">
            <w:pPr>
              <w:keepLines w:val="0"/>
              <w:spacing w:after="0" w:line="240" w:lineRule="auto"/>
              <w:jc w:val="right"/>
              <w:rPr>
                <w:sz w:val="18"/>
                <w:szCs w:val="18"/>
              </w:rPr>
            </w:pPr>
            <w:r w:rsidRPr="007E0530">
              <w:rPr>
                <w:sz w:val="18"/>
                <w:szCs w:val="18"/>
              </w:rPr>
              <w:t>5</w:t>
            </w:r>
            <w:r w:rsidR="00267254">
              <w:rPr>
                <w:sz w:val="18"/>
                <w:szCs w:val="18"/>
              </w:rPr>
              <w:t>39.4</w:t>
            </w:r>
          </w:p>
        </w:tc>
        <w:tc>
          <w:tcPr>
            <w:tcW w:w="835" w:type="pct"/>
            <w:shd w:val="clear" w:color="auto" w:fill="auto"/>
          </w:tcPr>
          <w:p w14:paraId="051F5FA3" w14:textId="67CD6908" w:rsidR="00390C00" w:rsidRPr="00390C00" w:rsidRDefault="00390C00" w:rsidP="00390C00">
            <w:pPr>
              <w:keepLines w:val="0"/>
              <w:spacing w:after="0" w:line="240" w:lineRule="auto"/>
              <w:jc w:val="right"/>
              <w:rPr>
                <w:sz w:val="18"/>
                <w:szCs w:val="18"/>
              </w:rPr>
            </w:pPr>
            <w:r w:rsidRPr="007E0530">
              <w:rPr>
                <w:sz w:val="18"/>
                <w:szCs w:val="18"/>
              </w:rPr>
              <w:t>1</w:t>
            </w:r>
            <w:r w:rsidR="00267254">
              <w:rPr>
                <w:sz w:val="18"/>
                <w:szCs w:val="18"/>
              </w:rPr>
              <w:t>41.9</w:t>
            </w:r>
          </w:p>
        </w:tc>
        <w:tc>
          <w:tcPr>
            <w:tcW w:w="835" w:type="pct"/>
            <w:shd w:val="clear" w:color="auto" w:fill="auto"/>
          </w:tcPr>
          <w:p w14:paraId="1FA49874" w14:textId="074A8AD9" w:rsidR="00390C00" w:rsidRPr="00390C00" w:rsidRDefault="00390C00" w:rsidP="00390C00">
            <w:pPr>
              <w:keepLines w:val="0"/>
              <w:spacing w:after="0" w:line="240" w:lineRule="auto"/>
              <w:jc w:val="right"/>
              <w:rPr>
                <w:sz w:val="18"/>
                <w:szCs w:val="18"/>
              </w:rPr>
            </w:pPr>
            <w:r w:rsidRPr="007E0530">
              <w:rPr>
                <w:sz w:val="18"/>
                <w:szCs w:val="18"/>
              </w:rPr>
              <w:t>1,120.</w:t>
            </w:r>
            <w:r w:rsidR="00A06F4D">
              <w:rPr>
                <w:sz w:val="18"/>
                <w:szCs w:val="18"/>
              </w:rPr>
              <w:t>3</w:t>
            </w:r>
          </w:p>
        </w:tc>
        <w:tc>
          <w:tcPr>
            <w:tcW w:w="835" w:type="pct"/>
            <w:shd w:val="clear" w:color="auto" w:fill="auto"/>
          </w:tcPr>
          <w:p w14:paraId="08796260" w14:textId="6AD37CA0" w:rsidR="00390C00" w:rsidRPr="00390C00" w:rsidRDefault="00390C00" w:rsidP="00390C00">
            <w:pPr>
              <w:keepLines w:val="0"/>
              <w:spacing w:after="0" w:line="240" w:lineRule="auto"/>
              <w:jc w:val="right"/>
              <w:rPr>
                <w:sz w:val="18"/>
                <w:szCs w:val="18"/>
              </w:rPr>
            </w:pPr>
            <w:r w:rsidRPr="007E0530">
              <w:rPr>
                <w:sz w:val="18"/>
                <w:szCs w:val="18"/>
              </w:rPr>
              <w:t>906.</w:t>
            </w:r>
            <w:r w:rsidR="00A06F4D">
              <w:rPr>
                <w:sz w:val="18"/>
                <w:szCs w:val="18"/>
              </w:rPr>
              <w:t>0</w:t>
            </w:r>
          </w:p>
        </w:tc>
        <w:tc>
          <w:tcPr>
            <w:tcW w:w="835" w:type="pct"/>
            <w:shd w:val="clear" w:color="auto" w:fill="auto"/>
          </w:tcPr>
          <w:p w14:paraId="33BFB440" w14:textId="771AC5DA" w:rsidR="00390C00" w:rsidRPr="00390C00" w:rsidRDefault="00390C00" w:rsidP="00390C00">
            <w:pPr>
              <w:keepLines w:val="0"/>
              <w:spacing w:after="0" w:line="240" w:lineRule="auto"/>
              <w:jc w:val="right"/>
              <w:rPr>
                <w:b/>
                <w:bCs/>
                <w:sz w:val="18"/>
                <w:szCs w:val="18"/>
              </w:rPr>
            </w:pPr>
            <w:r w:rsidRPr="007E0530">
              <w:rPr>
                <w:b/>
                <w:bCs/>
                <w:sz w:val="18"/>
                <w:szCs w:val="18"/>
              </w:rPr>
              <w:t>2,</w:t>
            </w:r>
            <w:r w:rsidR="007E4CFB">
              <w:rPr>
                <w:b/>
                <w:bCs/>
                <w:sz w:val="18"/>
                <w:szCs w:val="18"/>
              </w:rPr>
              <w:t>707.6</w:t>
            </w:r>
          </w:p>
        </w:tc>
      </w:tr>
      <w:tr w:rsidR="00390C00" w:rsidRPr="00CD11DE" w14:paraId="604AD677" w14:textId="77777777" w:rsidTr="006F3279">
        <w:trPr>
          <w:trHeight w:val="154"/>
        </w:trPr>
        <w:tc>
          <w:tcPr>
            <w:tcW w:w="824" w:type="pct"/>
            <w:shd w:val="clear" w:color="auto" w:fill="06B1D6" w:themeFill="accent1"/>
            <w:vAlign w:val="center"/>
            <w:hideMark/>
          </w:tcPr>
          <w:p w14:paraId="37FBF7DA"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Past due but not impaired:</w:t>
            </w:r>
          </w:p>
        </w:tc>
        <w:tc>
          <w:tcPr>
            <w:tcW w:w="835" w:type="pct"/>
            <w:shd w:val="clear" w:color="auto" w:fill="auto"/>
          </w:tcPr>
          <w:p w14:paraId="586047E7" w14:textId="592530EF" w:rsidR="00390C00" w:rsidRPr="00390C00" w:rsidRDefault="00267254" w:rsidP="00390C00">
            <w:pPr>
              <w:keepLines w:val="0"/>
              <w:spacing w:after="0" w:line="240" w:lineRule="auto"/>
              <w:jc w:val="right"/>
              <w:rPr>
                <w:sz w:val="18"/>
                <w:szCs w:val="18"/>
              </w:rPr>
            </w:pPr>
            <w:r>
              <w:rPr>
                <w:sz w:val="18"/>
                <w:szCs w:val="18"/>
              </w:rPr>
              <w:t>-</w:t>
            </w:r>
          </w:p>
        </w:tc>
        <w:tc>
          <w:tcPr>
            <w:tcW w:w="835" w:type="pct"/>
            <w:shd w:val="clear" w:color="auto" w:fill="auto"/>
          </w:tcPr>
          <w:p w14:paraId="00B33D5E" w14:textId="02D31AAB" w:rsidR="00390C00" w:rsidRPr="00390C00" w:rsidRDefault="00267254" w:rsidP="00390C00">
            <w:pPr>
              <w:keepLines w:val="0"/>
              <w:spacing w:after="0" w:line="240" w:lineRule="auto"/>
              <w:jc w:val="right"/>
              <w:rPr>
                <w:sz w:val="18"/>
                <w:szCs w:val="18"/>
              </w:rPr>
            </w:pPr>
            <w:r>
              <w:rPr>
                <w:sz w:val="18"/>
                <w:szCs w:val="18"/>
              </w:rPr>
              <w:t>-</w:t>
            </w:r>
          </w:p>
        </w:tc>
        <w:tc>
          <w:tcPr>
            <w:tcW w:w="835" w:type="pct"/>
            <w:shd w:val="clear" w:color="auto" w:fill="auto"/>
          </w:tcPr>
          <w:p w14:paraId="7745E775" w14:textId="77B2BD6D" w:rsidR="00390C00" w:rsidRPr="00390C00" w:rsidRDefault="00390C00" w:rsidP="00390C00">
            <w:pPr>
              <w:keepLines w:val="0"/>
              <w:spacing w:after="0" w:line="240" w:lineRule="auto"/>
              <w:jc w:val="right"/>
              <w:rPr>
                <w:sz w:val="18"/>
                <w:szCs w:val="18"/>
              </w:rPr>
            </w:pPr>
          </w:p>
        </w:tc>
        <w:tc>
          <w:tcPr>
            <w:tcW w:w="835" w:type="pct"/>
            <w:shd w:val="clear" w:color="auto" w:fill="auto"/>
          </w:tcPr>
          <w:p w14:paraId="4FCD6911" w14:textId="1F19FE5B" w:rsidR="00390C00" w:rsidRPr="00390C00" w:rsidRDefault="00390C00" w:rsidP="00390C00">
            <w:pPr>
              <w:keepLines w:val="0"/>
              <w:spacing w:after="0" w:line="240" w:lineRule="auto"/>
              <w:jc w:val="right"/>
              <w:rPr>
                <w:sz w:val="18"/>
                <w:szCs w:val="18"/>
              </w:rPr>
            </w:pPr>
          </w:p>
        </w:tc>
        <w:tc>
          <w:tcPr>
            <w:tcW w:w="835" w:type="pct"/>
            <w:shd w:val="clear" w:color="auto" w:fill="auto"/>
          </w:tcPr>
          <w:p w14:paraId="16449668" w14:textId="433FA7EC" w:rsidR="00390C00" w:rsidRPr="00390C00" w:rsidRDefault="00390C00" w:rsidP="00390C00">
            <w:pPr>
              <w:keepLines w:val="0"/>
              <w:spacing w:after="0" w:line="240" w:lineRule="auto"/>
              <w:jc w:val="right"/>
              <w:rPr>
                <w:b/>
                <w:bCs/>
                <w:sz w:val="18"/>
                <w:szCs w:val="18"/>
              </w:rPr>
            </w:pPr>
          </w:p>
        </w:tc>
      </w:tr>
      <w:tr w:rsidR="00390C00" w:rsidRPr="00CD11DE" w14:paraId="0BFE0337" w14:textId="77777777" w:rsidTr="006F3279">
        <w:trPr>
          <w:trHeight w:val="154"/>
        </w:trPr>
        <w:tc>
          <w:tcPr>
            <w:tcW w:w="824" w:type="pct"/>
            <w:shd w:val="clear" w:color="auto" w:fill="06B1D6" w:themeFill="accent1"/>
            <w:vAlign w:val="center"/>
            <w:hideMark/>
          </w:tcPr>
          <w:p w14:paraId="32128665"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Up to 3 months</w:t>
            </w:r>
          </w:p>
        </w:tc>
        <w:tc>
          <w:tcPr>
            <w:tcW w:w="835" w:type="pct"/>
            <w:shd w:val="clear" w:color="auto" w:fill="auto"/>
          </w:tcPr>
          <w:p w14:paraId="0BBAB181" w14:textId="7C19F1C8"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1438490E" w14:textId="0A5D78D3"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4E57517C" w14:textId="3EF0F12C" w:rsidR="00390C00" w:rsidRPr="00390C00" w:rsidRDefault="00390C00" w:rsidP="00390C00">
            <w:pPr>
              <w:keepLines w:val="0"/>
              <w:spacing w:after="0" w:line="240" w:lineRule="auto"/>
              <w:jc w:val="right"/>
              <w:rPr>
                <w:color w:val="auto"/>
                <w:sz w:val="18"/>
                <w:szCs w:val="18"/>
              </w:rPr>
            </w:pPr>
          </w:p>
        </w:tc>
        <w:tc>
          <w:tcPr>
            <w:tcW w:w="835" w:type="pct"/>
            <w:shd w:val="clear" w:color="auto" w:fill="auto"/>
          </w:tcPr>
          <w:p w14:paraId="06DDF31E" w14:textId="3C60F981" w:rsidR="00390C00" w:rsidRPr="00390C00" w:rsidRDefault="00390C00" w:rsidP="00390C00">
            <w:pPr>
              <w:keepLines w:val="0"/>
              <w:spacing w:after="0" w:line="240" w:lineRule="auto"/>
              <w:jc w:val="right"/>
              <w:rPr>
                <w:color w:val="auto"/>
                <w:sz w:val="18"/>
                <w:szCs w:val="18"/>
              </w:rPr>
            </w:pPr>
            <w:r w:rsidRPr="007E0530">
              <w:rPr>
                <w:sz w:val="18"/>
                <w:szCs w:val="18"/>
              </w:rPr>
              <w:t>0.6</w:t>
            </w:r>
          </w:p>
        </w:tc>
        <w:tc>
          <w:tcPr>
            <w:tcW w:w="835" w:type="pct"/>
            <w:shd w:val="clear" w:color="auto" w:fill="auto"/>
          </w:tcPr>
          <w:p w14:paraId="0BC47D0D" w14:textId="6F509F81" w:rsidR="00390C00" w:rsidRPr="00390C00" w:rsidRDefault="00390C00" w:rsidP="00390C00">
            <w:pPr>
              <w:keepLines w:val="0"/>
              <w:spacing w:after="0" w:line="240" w:lineRule="auto"/>
              <w:jc w:val="right"/>
              <w:rPr>
                <w:b/>
                <w:bCs/>
                <w:color w:val="auto"/>
                <w:sz w:val="18"/>
                <w:szCs w:val="18"/>
              </w:rPr>
            </w:pPr>
            <w:r w:rsidRPr="007E0530">
              <w:rPr>
                <w:b/>
                <w:bCs/>
                <w:sz w:val="18"/>
                <w:szCs w:val="18"/>
              </w:rPr>
              <w:t>0.6</w:t>
            </w:r>
          </w:p>
        </w:tc>
      </w:tr>
      <w:tr w:rsidR="00390C00" w:rsidRPr="00CD11DE" w14:paraId="1150BBD9" w14:textId="77777777" w:rsidTr="006F3279">
        <w:trPr>
          <w:trHeight w:val="154"/>
        </w:trPr>
        <w:tc>
          <w:tcPr>
            <w:tcW w:w="824" w:type="pct"/>
            <w:shd w:val="clear" w:color="auto" w:fill="06B1D6" w:themeFill="accent1"/>
            <w:vAlign w:val="center"/>
            <w:hideMark/>
          </w:tcPr>
          <w:p w14:paraId="2ACDFDE5"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3 to </w:t>
            </w:r>
          </w:p>
          <w:p w14:paraId="3B91F469"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6 months</w:t>
            </w:r>
          </w:p>
        </w:tc>
        <w:tc>
          <w:tcPr>
            <w:tcW w:w="835" w:type="pct"/>
            <w:shd w:val="clear" w:color="auto" w:fill="auto"/>
          </w:tcPr>
          <w:p w14:paraId="695A3F27" w14:textId="0304094F"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4635A14C" w14:textId="4CE5CF79"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1279AA31" w14:textId="27554282" w:rsidR="00390C00" w:rsidRPr="00390C00" w:rsidRDefault="00390C00" w:rsidP="00390C00">
            <w:pPr>
              <w:keepLines w:val="0"/>
              <w:spacing w:after="0" w:line="240" w:lineRule="auto"/>
              <w:jc w:val="right"/>
              <w:rPr>
                <w:color w:val="auto"/>
                <w:sz w:val="18"/>
                <w:szCs w:val="18"/>
              </w:rPr>
            </w:pPr>
            <w:r w:rsidRPr="007E0530">
              <w:rPr>
                <w:sz w:val="18"/>
                <w:szCs w:val="18"/>
              </w:rPr>
              <w:t>15.8</w:t>
            </w:r>
          </w:p>
        </w:tc>
        <w:tc>
          <w:tcPr>
            <w:tcW w:w="835" w:type="pct"/>
            <w:shd w:val="clear" w:color="auto" w:fill="auto"/>
          </w:tcPr>
          <w:p w14:paraId="6082DB83" w14:textId="0CE52EC6" w:rsidR="00390C00" w:rsidRPr="00390C00" w:rsidRDefault="00390C00" w:rsidP="00390C00">
            <w:pPr>
              <w:keepLines w:val="0"/>
              <w:spacing w:after="0" w:line="240" w:lineRule="auto"/>
              <w:jc w:val="right"/>
              <w:rPr>
                <w:color w:val="auto"/>
                <w:sz w:val="18"/>
                <w:szCs w:val="18"/>
              </w:rPr>
            </w:pPr>
            <w:r w:rsidRPr="007E0530">
              <w:rPr>
                <w:sz w:val="18"/>
                <w:szCs w:val="18"/>
              </w:rPr>
              <w:t>7.9</w:t>
            </w:r>
          </w:p>
        </w:tc>
        <w:tc>
          <w:tcPr>
            <w:tcW w:w="835" w:type="pct"/>
            <w:shd w:val="clear" w:color="auto" w:fill="auto"/>
          </w:tcPr>
          <w:p w14:paraId="172C15E5" w14:textId="4F402896" w:rsidR="00390C00" w:rsidRPr="00390C00" w:rsidRDefault="00390C00" w:rsidP="00390C00">
            <w:pPr>
              <w:keepLines w:val="0"/>
              <w:spacing w:after="0" w:line="240" w:lineRule="auto"/>
              <w:jc w:val="right"/>
              <w:rPr>
                <w:b/>
                <w:bCs/>
                <w:color w:val="auto"/>
                <w:sz w:val="18"/>
                <w:szCs w:val="18"/>
              </w:rPr>
            </w:pPr>
            <w:r w:rsidRPr="007E0530">
              <w:rPr>
                <w:b/>
                <w:bCs/>
                <w:sz w:val="18"/>
                <w:szCs w:val="18"/>
              </w:rPr>
              <w:t>23.7</w:t>
            </w:r>
          </w:p>
        </w:tc>
      </w:tr>
      <w:tr w:rsidR="00390C00" w:rsidRPr="00CD11DE" w14:paraId="32F4C4E8" w14:textId="77777777" w:rsidTr="006F3279">
        <w:trPr>
          <w:trHeight w:val="154"/>
        </w:trPr>
        <w:tc>
          <w:tcPr>
            <w:tcW w:w="824" w:type="pct"/>
            <w:shd w:val="clear" w:color="auto" w:fill="06B1D6" w:themeFill="accent1"/>
            <w:vAlign w:val="center"/>
            <w:hideMark/>
          </w:tcPr>
          <w:p w14:paraId="61433C83"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6 to </w:t>
            </w:r>
          </w:p>
          <w:p w14:paraId="6B754EC5"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12 months</w:t>
            </w:r>
          </w:p>
        </w:tc>
        <w:tc>
          <w:tcPr>
            <w:tcW w:w="835" w:type="pct"/>
            <w:shd w:val="clear" w:color="auto" w:fill="auto"/>
          </w:tcPr>
          <w:p w14:paraId="0E5BCBF6" w14:textId="6B61E758"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72AC6186" w14:textId="25F5078B"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5A26449E" w14:textId="442F1A9D" w:rsidR="00390C00" w:rsidRPr="00390C00" w:rsidRDefault="00390C00" w:rsidP="00390C00">
            <w:pPr>
              <w:keepLines w:val="0"/>
              <w:spacing w:after="0" w:line="240" w:lineRule="auto"/>
              <w:jc w:val="right"/>
              <w:rPr>
                <w:color w:val="auto"/>
                <w:sz w:val="18"/>
                <w:szCs w:val="18"/>
              </w:rPr>
            </w:pPr>
            <w:r w:rsidRPr="007E0530">
              <w:rPr>
                <w:sz w:val="18"/>
                <w:szCs w:val="18"/>
              </w:rPr>
              <w:t>7.3</w:t>
            </w:r>
          </w:p>
        </w:tc>
        <w:tc>
          <w:tcPr>
            <w:tcW w:w="835" w:type="pct"/>
            <w:shd w:val="clear" w:color="auto" w:fill="auto"/>
          </w:tcPr>
          <w:p w14:paraId="092353D1" w14:textId="5E1CDEF0" w:rsidR="00390C00" w:rsidRPr="00390C00" w:rsidRDefault="00390C00" w:rsidP="00390C00">
            <w:pPr>
              <w:keepLines w:val="0"/>
              <w:spacing w:after="0" w:line="240" w:lineRule="auto"/>
              <w:jc w:val="right"/>
              <w:rPr>
                <w:sz w:val="18"/>
                <w:szCs w:val="18"/>
              </w:rPr>
            </w:pPr>
            <w:r w:rsidRPr="007E0530">
              <w:rPr>
                <w:sz w:val="18"/>
                <w:szCs w:val="18"/>
              </w:rPr>
              <w:t>2.5</w:t>
            </w:r>
          </w:p>
        </w:tc>
        <w:tc>
          <w:tcPr>
            <w:tcW w:w="835" w:type="pct"/>
            <w:shd w:val="clear" w:color="auto" w:fill="auto"/>
          </w:tcPr>
          <w:p w14:paraId="2B533A6A" w14:textId="14A1783A" w:rsidR="00390C00" w:rsidRPr="00390C00" w:rsidRDefault="00390C00" w:rsidP="00390C00">
            <w:pPr>
              <w:keepLines w:val="0"/>
              <w:spacing w:after="0" w:line="240" w:lineRule="auto"/>
              <w:jc w:val="right"/>
              <w:rPr>
                <w:b/>
                <w:bCs/>
                <w:color w:val="auto"/>
                <w:sz w:val="18"/>
                <w:szCs w:val="18"/>
              </w:rPr>
            </w:pPr>
            <w:r w:rsidRPr="007E0530">
              <w:rPr>
                <w:b/>
                <w:bCs/>
                <w:sz w:val="18"/>
                <w:szCs w:val="18"/>
              </w:rPr>
              <w:t>9.8</w:t>
            </w:r>
          </w:p>
        </w:tc>
      </w:tr>
      <w:tr w:rsidR="00390C00" w:rsidRPr="00CD11DE" w14:paraId="5D5D8204" w14:textId="77777777" w:rsidTr="006F3279">
        <w:trPr>
          <w:trHeight w:val="154"/>
        </w:trPr>
        <w:tc>
          <w:tcPr>
            <w:tcW w:w="824" w:type="pct"/>
            <w:shd w:val="clear" w:color="auto" w:fill="06B1D6" w:themeFill="accent1"/>
            <w:vAlign w:val="center"/>
            <w:hideMark/>
          </w:tcPr>
          <w:p w14:paraId="7332CE4C"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Over </w:t>
            </w:r>
          </w:p>
          <w:p w14:paraId="7F212787"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12 months</w:t>
            </w:r>
          </w:p>
        </w:tc>
        <w:tc>
          <w:tcPr>
            <w:tcW w:w="835" w:type="pct"/>
            <w:shd w:val="clear" w:color="auto" w:fill="auto"/>
          </w:tcPr>
          <w:p w14:paraId="35F651DE" w14:textId="118E1726"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45AF73CF" w14:textId="131ACAA0" w:rsidR="00390C00" w:rsidRPr="00390C00" w:rsidRDefault="00267254" w:rsidP="00390C00">
            <w:pPr>
              <w:keepLines w:val="0"/>
              <w:spacing w:after="0" w:line="240" w:lineRule="auto"/>
              <w:jc w:val="right"/>
              <w:rPr>
                <w:color w:val="auto"/>
                <w:sz w:val="18"/>
                <w:szCs w:val="18"/>
              </w:rPr>
            </w:pPr>
            <w:r>
              <w:rPr>
                <w:color w:val="auto"/>
                <w:sz w:val="18"/>
                <w:szCs w:val="18"/>
              </w:rPr>
              <w:t>-</w:t>
            </w:r>
          </w:p>
        </w:tc>
        <w:tc>
          <w:tcPr>
            <w:tcW w:w="835" w:type="pct"/>
            <w:shd w:val="clear" w:color="auto" w:fill="auto"/>
          </w:tcPr>
          <w:p w14:paraId="76FAB4F2" w14:textId="05DC09FC" w:rsidR="00390C00" w:rsidRPr="00390C00" w:rsidRDefault="00390C00" w:rsidP="00390C00">
            <w:pPr>
              <w:keepLines w:val="0"/>
              <w:spacing w:after="0" w:line="240" w:lineRule="auto"/>
              <w:jc w:val="right"/>
              <w:rPr>
                <w:color w:val="auto"/>
                <w:sz w:val="18"/>
                <w:szCs w:val="18"/>
              </w:rPr>
            </w:pPr>
            <w:r w:rsidRPr="007E0530">
              <w:rPr>
                <w:sz w:val="18"/>
                <w:szCs w:val="18"/>
              </w:rPr>
              <w:t>30.5</w:t>
            </w:r>
          </w:p>
        </w:tc>
        <w:tc>
          <w:tcPr>
            <w:tcW w:w="835" w:type="pct"/>
            <w:shd w:val="clear" w:color="auto" w:fill="auto"/>
          </w:tcPr>
          <w:p w14:paraId="0AFCA593" w14:textId="6577C251" w:rsidR="00390C00" w:rsidRPr="00390C00" w:rsidRDefault="00390C00" w:rsidP="00390C00">
            <w:pPr>
              <w:keepLines w:val="0"/>
              <w:spacing w:after="0" w:line="240" w:lineRule="auto"/>
              <w:jc w:val="right"/>
              <w:rPr>
                <w:color w:val="auto"/>
                <w:sz w:val="18"/>
                <w:szCs w:val="18"/>
              </w:rPr>
            </w:pPr>
            <w:r w:rsidRPr="007E0530">
              <w:rPr>
                <w:sz w:val="18"/>
                <w:szCs w:val="18"/>
              </w:rPr>
              <w:t>16.0</w:t>
            </w:r>
          </w:p>
        </w:tc>
        <w:tc>
          <w:tcPr>
            <w:tcW w:w="835" w:type="pct"/>
            <w:shd w:val="clear" w:color="auto" w:fill="auto"/>
          </w:tcPr>
          <w:p w14:paraId="19689D0C" w14:textId="3E6678FD" w:rsidR="00390C00" w:rsidRPr="00390C00" w:rsidRDefault="00390C00" w:rsidP="00390C00">
            <w:pPr>
              <w:keepLines w:val="0"/>
              <w:spacing w:after="0" w:line="240" w:lineRule="auto"/>
              <w:jc w:val="right"/>
              <w:rPr>
                <w:b/>
                <w:bCs/>
                <w:color w:val="auto"/>
                <w:sz w:val="18"/>
                <w:szCs w:val="18"/>
              </w:rPr>
            </w:pPr>
            <w:r w:rsidRPr="007E0530">
              <w:rPr>
                <w:b/>
                <w:bCs/>
                <w:sz w:val="18"/>
                <w:szCs w:val="18"/>
              </w:rPr>
              <w:t>46.5</w:t>
            </w:r>
          </w:p>
        </w:tc>
      </w:tr>
      <w:tr w:rsidR="00390C00" w:rsidRPr="00CD11DE" w14:paraId="6243F8F5" w14:textId="77777777" w:rsidTr="006F3279">
        <w:trPr>
          <w:trHeight w:val="341"/>
        </w:trPr>
        <w:tc>
          <w:tcPr>
            <w:tcW w:w="824" w:type="pct"/>
            <w:shd w:val="clear" w:color="auto" w:fill="06B1D6" w:themeFill="accent1"/>
            <w:vAlign w:val="center"/>
            <w:hideMark/>
          </w:tcPr>
          <w:p w14:paraId="6751B72E" w14:textId="77777777" w:rsidR="00390C00" w:rsidRPr="00CD11DE" w:rsidRDefault="00390C00" w:rsidP="00390C0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 gross exposure</w:t>
            </w:r>
          </w:p>
        </w:tc>
        <w:tc>
          <w:tcPr>
            <w:tcW w:w="835" w:type="pct"/>
            <w:shd w:val="clear" w:color="auto" w:fill="auto"/>
          </w:tcPr>
          <w:p w14:paraId="44ED56D9" w14:textId="6441E497" w:rsidR="00390C00" w:rsidRPr="00390C00" w:rsidRDefault="00390C00" w:rsidP="00390C00">
            <w:pPr>
              <w:keepLines w:val="0"/>
              <w:spacing w:after="0" w:line="240" w:lineRule="auto"/>
              <w:jc w:val="right"/>
              <w:rPr>
                <w:b/>
                <w:bCs/>
                <w:sz w:val="18"/>
                <w:szCs w:val="18"/>
              </w:rPr>
            </w:pPr>
            <w:r w:rsidRPr="007E0530">
              <w:rPr>
                <w:b/>
                <w:bCs/>
                <w:sz w:val="18"/>
                <w:szCs w:val="18"/>
              </w:rPr>
              <w:t>5</w:t>
            </w:r>
            <w:r w:rsidR="00267254">
              <w:rPr>
                <w:b/>
                <w:bCs/>
                <w:sz w:val="18"/>
                <w:szCs w:val="18"/>
              </w:rPr>
              <w:t>39.4</w:t>
            </w:r>
          </w:p>
        </w:tc>
        <w:tc>
          <w:tcPr>
            <w:tcW w:w="835" w:type="pct"/>
            <w:shd w:val="clear" w:color="auto" w:fill="auto"/>
          </w:tcPr>
          <w:p w14:paraId="60299554" w14:textId="373651CF" w:rsidR="00390C00" w:rsidRPr="00390C00" w:rsidRDefault="00390C00" w:rsidP="00390C00">
            <w:pPr>
              <w:keepLines w:val="0"/>
              <w:spacing w:after="0" w:line="240" w:lineRule="auto"/>
              <w:jc w:val="right"/>
              <w:rPr>
                <w:b/>
                <w:bCs/>
                <w:sz w:val="18"/>
                <w:szCs w:val="18"/>
              </w:rPr>
            </w:pPr>
            <w:r w:rsidRPr="007E0530">
              <w:rPr>
                <w:b/>
                <w:bCs/>
                <w:sz w:val="18"/>
                <w:szCs w:val="18"/>
              </w:rPr>
              <w:t>1</w:t>
            </w:r>
            <w:r w:rsidR="00267254">
              <w:rPr>
                <w:b/>
                <w:bCs/>
                <w:sz w:val="18"/>
                <w:szCs w:val="18"/>
              </w:rPr>
              <w:t>41.9</w:t>
            </w:r>
          </w:p>
        </w:tc>
        <w:tc>
          <w:tcPr>
            <w:tcW w:w="835" w:type="pct"/>
            <w:shd w:val="clear" w:color="auto" w:fill="auto"/>
          </w:tcPr>
          <w:p w14:paraId="365290D5" w14:textId="0419CB8B" w:rsidR="00A06F4D" w:rsidRPr="00390C00" w:rsidRDefault="00390C00" w:rsidP="00A06F4D">
            <w:pPr>
              <w:keepLines w:val="0"/>
              <w:spacing w:after="0" w:line="240" w:lineRule="auto"/>
              <w:jc w:val="right"/>
              <w:rPr>
                <w:b/>
                <w:bCs/>
                <w:sz w:val="18"/>
                <w:szCs w:val="18"/>
              </w:rPr>
            </w:pPr>
            <w:r w:rsidRPr="007E0530">
              <w:rPr>
                <w:b/>
                <w:bCs/>
                <w:sz w:val="18"/>
                <w:szCs w:val="18"/>
              </w:rPr>
              <w:t>1,17</w:t>
            </w:r>
            <w:r w:rsidR="00A06F4D">
              <w:rPr>
                <w:b/>
                <w:bCs/>
                <w:sz w:val="18"/>
                <w:szCs w:val="18"/>
              </w:rPr>
              <w:t>3.9</w:t>
            </w:r>
          </w:p>
        </w:tc>
        <w:tc>
          <w:tcPr>
            <w:tcW w:w="835" w:type="pct"/>
            <w:shd w:val="clear" w:color="auto" w:fill="auto"/>
          </w:tcPr>
          <w:p w14:paraId="188B02A3" w14:textId="29DCC0DF" w:rsidR="00390C00" w:rsidRPr="00390C00" w:rsidRDefault="00390C00" w:rsidP="00390C00">
            <w:pPr>
              <w:keepLines w:val="0"/>
              <w:spacing w:after="0" w:line="240" w:lineRule="auto"/>
              <w:jc w:val="right"/>
              <w:rPr>
                <w:rFonts w:eastAsia="Times New Roman"/>
                <w:b/>
                <w:bCs/>
                <w:sz w:val="18"/>
                <w:szCs w:val="18"/>
              </w:rPr>
            </w:pPr>
            <w:r w:rsidRPr="007E0530">
              <w:rPr>
                <w:b/>
                <w:bCs/>
                <w:sz w:val="18"/>
                <w:szCs w:val="18"/>
              </w:rPr>
              <w:t>933.</w:t>
            </w:r>
            <w:r w:rsidR="00A06F4D">
              <w:rPr>
                <w:b/>
                <w:bCs/>
                <w:sz w:val="18"/>
                <w:szCs w:val="18"/>
              </w:rPr>
              <w:t>0</w:t>
            </w:r>
          </w:p>
        </w:tc>
        <w:tc>
          <w:tcPr>
            <w:tcW w:w="835" w:type="pct"/>
            <w:shd w:val="clear" w:color="auto" w:fill="auto"/>
          </w:tcPr>
          <w:p w14:paraId="27F0F717" w14:textId="6D331E63" w:rsidR="00390C00" w:rsidRPr="00390C00" w:rsidRDefault="00390C00" w:rsidP="00390C00">
            <w:pPr>
              <w:keepLines w:val="0"/>
              <w:spacing w:after="0" w:line="240" w:lineRule="auto"/>
              <w:jc w:val="right"/>
              <w:rPr>
                <w:b/>
                <w:bCs/>
                <w:sz w:val="18"/>
                <w:szCs w:val="18"/>
              </w:rPr>
            </w:pPr>
            <w:r w:rsidRPr="007E0530">
              <w:rPr>
                <w:b/>
                <w:bCs/>
                <w:sz w:val="18"/>
                <w:szCs w:val="18"/>
              </w:rPr>
              <w:t>2,7</w:t>
            </w:r>
            <w:r w:rsidR="007E4CFB">
              <w:rPr>
                <w:b/>
                <w:bCs/>
                <w:sz w:val="18"/>
                <w:szCs w:val="18"/>
              </w:rPr>
              <w:t>88.2</w:t>
            </w:r>
          </w:p>
        </w:tc>
      </w:tr>
    </w:tbl>
    <w:p w14:paraId="64B2B368" w14:textId="77777777" w:rsidR="00350AC0" w:rsidRPr="00CD11DE" w:rsidRDefault="00350AC0" w:rsidP="00350AC0">
      <w:pPr>
        <w:spacing w:after="10"/>
        <w:ind w:left="-5"/>
        <w:jc w:val="left"/>
        <w:rPr>
          <w:sz w:val="20"/>
          <w:szCs w:val="20"/>
        </w:rPr>
      </w:pPr>
    </w:p>
    <w:p w14:paraId="1F07B31D" w14:textId="71175C8E" w:rsidR="004445B7" w:rsidRPr="00CD11DE" w:rsidRDefault="004445B7" w:rsidP="00F260C3">
      <w:pPr>
        <w:pStyle w:val="Caption"/>
      </w:pPr>
      <w:r w:rsidRPr="00CD11DE">
        <w:t xml:space="preserve">Table </w:t>
      </w:r>
      <w:r w:rsidRPr="00CD11DE">
        <w:fldChar w:fldCharType="begin"/>
      </w:r>
      <w:r w:rsidRPr="00CD11DE">
        <w:instrText xml:space="preserve"> SEQ Table \* ARABIC </w:instrText>
      </w:r>
      <w:r w:rsidRPr="00CD11DE">
        <w:fldChar w:fldCharType="separate"/>
      </w:r>
      <w:r w:rsidRPr="00CD11DE">
        <w:rPr>
          <w:noProof/>
        </w:rPr>
        <w:t>26</w:t>
      </w:r>
      <w:r w:rsidRPr="00CD11DE">
        <w:fldChar w:fldCharType="end"/>
      </w:r>
      <w:r w:rsidRPr="00CD11DE">
        <w:t xml:space="preserve">: Past due exposures for the year to 31 December </w:t>
      </w:r>
      <w:r w:rsidR="0023087C">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508"/>
        <w:gridCol w:w="1508"/>
        <w:gridCol w:w="1508"/>
        <w:gridCol w:w="1508"/>
        <w:gridCol w:w="1508"/>
      </w:tblGrid>
      <w:tr w:rsidR="00350AC0" w:rsidRPr="00CD11DE" w14:paraId="4180CC4E" w14:textId="77777777" w:rsidTr="006F3279">
        <w:trPr>
          <w:trHeight w:val="542"/>
        </w:trPr>
        <w:tc>
          <w:tcPr>
            <w:tcW w:w="824" w:type="pct"/>
            <w:shd w:val="clear" w:color="auto" w:fill="06B1D6" w:themeFill="accent1"/>
            <w:vAlign w:val="center"/>
            <w:hideMark/>
          </w:tcPr>
          <w:p w14:paraId="3AB2E90D" w14:textId="77777777" w:rsidR="00350AC0" w:rsidRPr="00CD11DE" w:rsidRDefault="00350AC0" w:rsidP="00C1159A">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w:t>
            </w:r>
          </w:p>
        </w:tc>
        <w:tc>
          <w:tcPr>
            <w:tcW w:w="835" w:type="pct"/>
            <w:shd w:val="clear" w:color="auto" w:fill="06B1D6" w:themeFill="accent1"/>
            <w:hideMark/>
          </w:tcPr>
          <w:p w14:paraId="7CA37468"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Treasury assets </w:t>
            </w:r>
          </w:p>
          <w:p w14:paraId="25B5AE12"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35" w:type="pct"/>
            <w:shd w:val="clear" w:color="auto" w:fill="06B1D6" w:themeFill="accent1"/>
            <w:hideMark/>
          </w:tcPr>
          <w:p w14:paraId="45E3BEC8"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Investment securities</w:t>
            </w:r>
          </w:p>
          <w:p w14:paraId="4D1ADB1E"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 (£m)</w:t>
            </w:r>
          </w:p>
        </w:tc>
        <w:tc>
          <w:tcPr>
            <w:tcW w:w="835" w:type="pct"/>
            <w:shd w:val="clear" w:color="auto" w:fill="06B1D6" w:themeFill="accent1"/>
            <w:hideMark/>
          </w:tcPr>
          <w:p w14:paraId="1A54ED49"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Commercial property finance </w:t>
            </w:r>
            <w:r w:rsidRPr="00CD11DE">
              <w:rPr>
                <w:rFonts w:eastAsia="Times New Roman"/>
                <w:b/>
                <w:bCs/>
                <w:color w:val="FFFFFF"/>
                <w:sz w:val="18"/>
                <w:szCs w:val="18"/>
              </w:rPr>
              <w:br/>
              <w:t>(£m)</w:t>
            </w:r>
          </w:p>
        </w:tc>
        <w:tc>
          <w:tcPr>
            <w:tcW w:w="835" w:type="pct"/>
            <w:shd w:val="clear" w:color="auto" w:fill="06B1D6" w:themeFill="accent1"/>
            <w:hideMark/>
          </w:tcPr>
          <w:p w14:paraId="471FC5C3"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Home purchase </w:t>
            </w:r>
          </w:p>
          <w:p w14:paraId="28F2A52E"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 xml:space="preserve">plans </w:t>
            </w:r>
            <w:r w:rsidRPr="00CD11DE">
              <w:rPr>
                <w:rFonts w:eastAsia="Times New Roman"/>
                <w:b/>
                <w:bCs/>
                <w:color w:val="FFFFFF"/>
                <w:sz w:val="18"/>
                <w:szCs w:val="18"/>
              </w:rPr>
              <w:br/>
              <w:t>(£m)</w:t>
            </w:r>
          </w:p>
        </w:tc>
        <w:tc>
          <w:tcPr>
            <w:tcW w:w="835" w:type="pct"/>
            <w:shd w:val="clear" w:color="auto" w:fill="06B1D6" w:themeFill="accent1"/>
            <w:hideMark/>
          </w:tcPr>
          <w:p w14:paraId="7FB7994B" w14:textId="77777777" w:rsidR="00350AC0" w:rsidRPr="00CD11DE" w:rsidRDefault="00350AC0" w:rsidP="00C1159A">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r w:rsidRPr="00CD11DE">
              <w:rPr>
                <w:rFonts w:eastAsia="Times New Roman"/>
                <w:b/>
                <w:bCs/>
                <w:color w:val="FFFFFF"/>
                <w:sz w:val="18"/>
                <w:szCs w:val="18"/>
              </w:rPr>
              <w:br/>
              <w:t>(£m)</w:t>
            </w:r>
          </w:p>
        </w:tc>
      </w:tr>
      <w:tr w:rsidR="006E523C" w:rsidRPr="00CD11DE" w14:paraId="6B8F1E14" w14:textId="77777777" w:rsidTr="006F3279">
        <w:trPr>
          <w:trHeight w:val="274"/>
        </w:trPr>
        <w:tc>
          <w:tcPr>
            <w:tcW w:w="824" w:type="pct"/>
            <w:shd w:val="clear" w:color="auto" w:fill="06B1D6" w:themeFill="accent1"/>
            <w:vAlign w:val="center"/>
            <w:hideMark/>
          </w:tcPr>
          <w:p w14:paraId="052AA222"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Neither past due nor impaired</w:t>
            </w:r>
          </w:p>
        </w:tc>
        <w:tc>
          <w:tcPr>
            <w:tcW w:w="835" w:type="pct"/>
            <w:shd w:val="clear" w:color="auto" w:fill="auto"/>
            <w:vAlign w:val="center"/>
            <w:hideMark/>
          </w:tcPr>
          <w:p w14:paraId="4F9AA501" w14:textId="2846B8A9" w:rsidR="006E523C" w:rsidRPr="00CD11DE" w:rsidRDefault="006E523C" w:rsidP="006E523C">
            <w:pPr>
              <w:keepLines w:val="0"/>
              <w:spacing w:after="0" w:line="240" w:lineRule="auto"/>
              <w:jc w:val="right"/>
              <w:rPr>
                <w:rFonts w:eastAsia="Times New Roman"/>
                <w:bCs/>
                <w:sz w:val="18"/>
                <w:szCs w:val="18"/>
              </w:rPr>
            </w:pPr>
            <w:r w:rsidRPr="00C62D72">
              <w:rPr>
                <w:sz w:val="18"/>
                <w:szCs w:val="18"/>
              </w:rPr>
              <w:t>401.6</w:t>
            </w:r>
          </w:p>
        </w:tc>
        <w:tc>
          <w:tcPr>
            <w:tcW w:w="835" w:type="pct"/>
            <w:shd w:val="clear" w:color="auto" w:fill="auto"/>
            <w:vAlign w:val="center"/>
            <w:hideMark/>
          </w:tcPr>
          <w:p w14:paraId="7AB8E91B" w14:textId="3C26F5A6" w:rsidR="006E523C" w:rsidRPr="00CD11DE" w:rsidRDefault="006E523C" w:rsidP="006E523C">
            <w:pPr>
              <w:keepLines w:val="0"/>
              <w:spacing w:after="0" w:line="240" w:lineRule="auto"/>
              <w:jc w:val="right"/>
              <w:rPr>
                <w:rFonts w:eastAsia="Times New Roman"/>
                <w:bCs/>
                <w:sz w:val="18"/>
                <w:szCs w:val="18"/>
              </w:rPr>
            </w:pPr>
            <w:r w:rsidRPr="00C62D72">
              <w:rPr>
                <w:sz w:val="18"/>
                <w:szCs w:val="18"/>
              </w:rPr>
              <w:t>148.7</w:t>
            </w:r>
          </w:p>
        </w:tc>
        <w:tc>
          <w:tcPr>
            <w:tcW w:w="835" w:type="pct"/>
            <w:shd w:val="clear" w:color="auto" w:fill="auto"/>
            <w:vAlign w:val="center"/>
            <w:hideMark/>
          </w:tcPr>
          <w:p w14:paraId="22D3B788" w14:textId="3DAABB5E" w:rsidR="006E523C" w:rsidRPr="00CD11DE" w:rsidRDefault="006E523C" w:rsidP="006E523C">
            <w:pPr>
              <w:keepLines w:val="0"/>
              <w:spacing w:after="0" w:line="240" w:lineRule="auto"/>
              <w:jc w:val="right"/>
              <w:rPr>
                <w:rFonts w:eastAsia="Times New Roman"/>
                <w:bCs/>
                <w:sz w:val="18"/>
                <w:szCs w:val="18"/>
              </w:rPr>
            </w:pPr>
            <w:r w:rsidRPr="00C62D72">
              <w:rPr>
                <w:sz w:val="18"/>
                <w:szCs w:val="18"/>
              </w:rPr>
              <w:t>861.8</w:t>
            </w:r>
          </w:p>
        </w:tc>
        <w:tc>
          <w:tcPr>
            <w:tcW w:w="835" w:type="pct"/>
            <w:shd w:val="clear" w:color="auto" w:fill="auto"/>
            <w:vAlign w:val="center"/>
            <w:hideMark/>
          </w:tcPr>
          <w:p w14:paraId="2F34A6A9" w14:textId="59E2EBB9" w:rsidR="006E523C" w:rsidRPr="00CD11DE" w:rsidRDefault="006E523C" w:rsidP="006E523C">
            <w:pPr>
              <w:keepLines w:val="0"/>
              <w:spacing w:after="0" w:line="240" w:lineRule="auto"/>
              <w:jc w:val="right"/>
              <w:rPr>
                <w:rFonts w:eastAsia="Times New Roman"/>
                <w:bCs/>
                <w:sz w:val="18"/>
                <w:szCs w:val="18"/>
              </w:rPr>
            </w:pPr>
            <w:r w:rsidRPr="00C62D72">
              <w:rPr>
                <w:sz w:val="18"/>
                <w:szCs w:val="18"/>
              </w:rPr>
              <w:t>967.0</w:t>
            </w:r>
          </w:p>
        </w:tc>
        <w:tc>
          <w:tcPr>
            <w:tcW w:w="835" w:type="pct"/>
            <w:shd w:val="clear" w:color="auto" w:fill="auto"/>
            <w:vAlign w:val="center"/>
            <w:hideMark/>
          </w:tcPr>
          <w:p w14:paraId="11EA7B76" w14:textId="717A0B98" w:rsidR="006E523C" w:rsidRPr="00CD11DE" w:rsidRDefault="006E523C" w:rsidP="006E523C">
            <w:pPr>
              <w:keepLines w:val="0"/>
              <w:spacing w:after="0" w:line="240" w:lineRule="auto"/>
              <w:jc w:val="right"/>
              <w:rPr>
                <w:rFonts w:eastAsia="Times New Roman"/>
                <w:b/>
                <w:bCs/>
                <w:sz w:val="18"/>
                <w:szCs w:val="18"/>
              </w:rPr>
            </w:pPr>
            <w:r w:rsidRPr="009D7121">
              <w:rPr>
                <w:b/>
                <w:bCs/>
                <w:sz w:val="18"/>
                <w:szCs w:val="18"/>
              </w:rPr>
              <w:t>2,379.</w:t>
            </w:r>
            <w:r>
              <w:rPr>
                <w:b/>
                <w:bCs/>
                <w:sz w:val="18"/>
                <w:szCs w:val="18"/>
              </w:rPr>
              <w:t>1</w:t>
            </w:r>
          </w:p>
        </w:tc>
      </w:tr>
      <w:tr w:rsidR="006E523C" w:rsidRPr="00CD11DE" w14:paraId="76134DCA" w14:textId="77777777" w:rsidTr="006F3279">
        <w:trPr>
          <w:trHeight w:val="154"/>
        </w:trPr>
        <w:tc>
          <w:tcPr>
            <w:tcW w:w="824" w:type="pct"/>
            <w:shd w:val="clear" w:color="auto" w:fill="06B1D6" w:themeFill="accent1"/>
            <w:vAlign w:val="center"/>
            <w:hideMark/>
          </w:tcPr>
          <w:p w14:paraId="6C81D8A7"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Past due but not impaired:</w:t>
            </w:r>
          </w:p>
        </w:tc>
        <w:tc>
          <w:tcPr>
            <w:tcW w:w="835" w:type="pct"/>
            <w:shd w:val="clear" w:color="auto" w:fill="auto"/>
            <w:vAlign w:val="center"/>
            <w:hideMark/>
          </w:tcPr>
          <w:p w14:paraId="4C617461" w14:textId="721BBBEE" w:rsidR="006E523C" w:rsidRPr="00CD11DE" w:rsidRDefault="006E523C" w:rsidP="006E523C">
            <w:pPr>
              <w:keepLines w:val="0"/>
              <w:spacing w:after="0" w:line="240" w:lineRule="auto"/>
              <w:jc w:val="right"/>
              <w:rPr>
                <w:rFonts w:eastAsia="Times New Roman"/>
                <w:sz w:val="18"/>
                <w:szCs w:val="18"/>
              </w:rPr>
            </w:pPr>
            <w:r w:rsidRPr="009D7121">
              <w:rPr>
                <w:sz w:val="18"/>
                <w:szCs w:val="18"/>
              </w:rPr>
              <w:t>-</w:t>
            </w:r>
          </w:p>
        </w:tc>
        <w:tc>
          <w:tcPr>
            <w:tcW w:w="835" w:type="pct"/>
            <w:shd w:val="clear" w:color="auto" w:fill="auto"/>
            <w:vAlign w:val="center"/>
            <w:hideMark/>
          </w:tcPr>
          <w:p w14:paraId="51BA94DD" w14:textId="2D058117" w:rsidR="006E523C" w:rsidRPr="00CD11DE" w:rsidRDefault="006E523C" w:rsidP="006E523C">
            <w:pPr>
              <w:keepLines w:val="0"/>
              <w:spacing w:after="0" w:line="240" w:lineRule="auto"/>
              <w:jc w:val="right"/>
              <w:rPr>
                <w:rFonts w:eastAsia="Times New Roman"/>
                <w:sz w:val="18"/>
                <w:szCs w:val="18"/>
              </w:rPr>
            </w:pPr>
            <w:r w:rsidRPr="009D7121">
              <w:rPr>
                <w:sz w:val="18"/>
                <w:szCs w:val="18"/>
              </w:rPr>
              <w:t>-</w:t>
            </w:r>
          </w:p>
        </w:tc>
        <w:tc>
          <w:tcPr>
            <w:tcW w:w="835" w:type="pct"/>
            <w:shd w:val="clear" w:color="auto" w:fill="auto"/>
            <w:vAlign w:val="center"/>
            <w:hideMark/>
          </w:tcPr>
          <w:p w14:paraId="7DEDC423" w14:textId="47360AEC" w:rsidR="006E523C" w:rsidRPr="00CD11DE" w:rsidRDefault="006E523C" w:rsidP="006E523C">
            <w:pPr>
              <w:keepLines w:val="0"/>
              <w:spacing w:after="0" w:line="240" w:lineRule="auto"/>
              <w:jc w:val="right"/>
              <w:rPr>
                <w:rFonts w:eastAsia="Times New Roman"/>
                <w:sz w:val="18"/>
                <w:szCs w:val="18"/>
              </w:rPr>
            </w:pPr>
            <w:r w:rsidRPr="009D7121">
              <w:rPr>
                <w:sz w:val="18"/>
                <w:szCs w:val="18"/>
              </w:rPr>
              <w:t>-</w:t>
            </w:r>
          </w:p>
        </w:tc>
        <w:tc>
          <w:tcPr>
            <w:tcW w:w="835" w:type="pct"/>
            <w:shd w:val="clear" w:color="auto" w:fill="auto"/>
            <w:vAlign w:val="center"/>
            <w:hideMark/>
          </w:tcPr>
          <w:p w14:paraId="258A7B76" w14:textId="7F4DE914" w:rsidR="006E523C" w:rsidRPr="00CD11DE" w:rsidRDefault="006E523C" w:rsidP="006E523C">
            <w:pPr>
              <w:keepLines w:val="0"/>
              <w:spacing w:after="0" w:line="240" w:lineRule="auto"/>
              <w:jc w:val="right"/>
              <w:rPr>
                <w:rFonts w:eastAsia="Times New Roman"/>
                <w:sz w:val="18"/>
                <w:szCs w:val="18"/>
              </w:rPr>
            </w:pPr>
            <w:r w:rsidRPr="009D7121">
              <w:rPr>
                <w:sz w:val="18"/>
                <w:szCs w:val="18"/>
              </w:rPr>
              <w:t>-</w:t>
            </w:r>
          </w:p>
        </w:tc>
        <w:tc>
          <w:tcPr>
            <w:tcW w:w="835" w:type="pct"/>
            <w:shd w:val="clear" w:color="auto" w:fill="auto"/>
            <w:vAlign w:val="center"/>
            <w:hideMark/>
          </w:tcPr>
          <w:p w14:paraId="4CAF2460" w14:textId="6AF3B34D" w:rsidR="006E523C" w:rsidRPr="00CD11DE" w:rsidRDefault="006E523C" w:rsidP="006E523C">
            <w:pPr>
              <w:keepLines w:val="0"/>
              <w:spacing w:after="0" w:line="240" w:lineRule="auto"/>
              <w:jc w:val="right"/>
              <w:rPr>
                <w:rFonts w:eastAsia="Times New Roman"/>
                <w:b/>
                <w:bCs/>
                <w:sz w:val="18"/>
                <w:szCs w:val="18"/>
              </w:rPr>
            </w:pPr>
            <w:r w:rsidRPr="009D7121">
              <w:rPr>
                <w:b/>
                <w:bCs/>
                <w:sz w:val="18"/>
                <w:szCs w:val="18"/>
              </w:rPr>
              <w:t>-</w:t>
            </w:r>
          </w:p>
        </w:tc>
      </w:tr>
      <w:tr w:rsidR="006E523C" w:rsidRPr="00CD11DE" w14:paraId="02F13054" w14:textId="77777777" w:rsidTr="006F3279">
        <w:trPr>
          <w:trHeight w:val="154"/>
        </w:trPr>
        <w:tc>
          <w:tcPr>
            <w:tcW w:w="824" w:type="pct"/>
            <w:shd w:val="clear" w:color="auto" w:fill="06B1D6" w:themeFill="accent1"/>
            <w:vAlign w:val="center"/>
            <w:hideMark/>
          </w:tcPr>
          <w:p w14:paraId="5D9C3332"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Up to 3 months</w:t>
            </w:r>
          </w:p>
        </w:tc>
        <w:tc>
          <w:tcPr>
            <w:tcW w:w="835" w:type="pct"/>
            <w:shd w:val="clear" w:color="auto" w:fill="auto"/>
            <w:vAlign w:val="center"/>
            <w:hideMark/>
          </w:tcPr>
          <w:p w14:paraId="4C64E5E5" w14:textId="223287BC"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55D46F23" w14:textId="078E0D65"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51B86F99" w14:textId="6FA483DA"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2B9E3147" w14:textId="156329D3" w:rsidR="006E523C" w:rsidRPr="00CD11DE" w:rsidRDefault="006E523C" w:rsidP="006E523C">
            <w:pPr>
              <w:keepLines w:val="0"/>
              <w:spacing w:after="0" w:line="240" w:lineRule="auto"/>
              <w:jc w:val="right"/>
              <w:rPr>
                <w:rFonts w:eastAsia="Times New Roman"/>
                <w:color w:val="auto"/>
                <w:sz w:val="18"/>
                <w:szCs w:val="18"/>
              </w:rPr>
            </w:pPr>
            <w:r w:rsidRPr="00C62D72">
              <w:rPr>
                <w:sz w:val="18"/>
                <w:szCs w:val="18"/>
              </w:rPr>
              <w:t>10.8</w:t>
            </w:r>
          </w:p>
        </w:tc>
        <w:tc>
          <w:tcPr>
            <w:tcW w:w="835" w:type="pct"/>
            <w:shd w:val="clear" w:color="auto" w:fill="auto"/>
            <w:vAlign w:val="center"/>
            <w:hideMark/>
          </w:tcPr>
          <w:p w14:paraId="6ED52B76" w14:textId="18483F39" w:rsidR="006E523C" w:rsidRPr="00CD11DE" w:rsidRDefault="006E523C" w:rsidP="006E523C">
            <w:pPr>
              <w:keepLines w:val="0"/>
              <w:spacing w:after="0" w:line="240" w:lineRule="auto"/>
              <w:jc w:val="right"/>
              <w:rPr>
                <w:rFonts w:eastAsia="Times New Roman"/>
                <w:b/>
                <w:bCs/>
                <w:color w:val="auto"/>
                <w:sz w:val="18"/>
                <w:szCs w:val="18"/>
              </w:rPr>
            </w:pPr>
            <w:r w:rsidRPr="00C62D72">
              <w:rPr>
                <w:b/>
                <w:bCs/>
                <w:sz w:val="18"/>
                <w:szCs w:val="18"/>
              </w:rPr>
              <w:t>10.8</w:t>
            </w:r>
          </w:p>
        </w:tc>
      </w:tr>
      <w:tr w:rsidR="006E523C" w:rsidRPr="00CD11DE" w14:paraId="1D05890A" w14:textId="77777777" w:rsidTr="006F3279">
        <w:trPr>
          <w:trHeight w:val="154"/>
        </w:trPr>
        <w:tc>
          <w:tcPr>
            <w:tcW w:w="824" w:type="pct"/>
            <w:shd w:val="clear" w:color="auto" w:fill="06B1D6" w:themeFill="accent1"/>
            <w:vAlign w:val="center"/>
            <w:hideMark/>
          </w:tcPr>
          <w:p w14:paraId="79D7ADB3"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3 to </w:t>
            </w:r>
          </w:p>
          <w:p w14:paraId="622FAC28"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6 months</w:t>
            </w:r>
          </w:p>
        </w:tc>
        <w:tc>
          <w:tcPr>
            <w:tcW w:w="835" w:type="pct"/>
            <w:shd w:val="clear" w:color="auto" w:fill="auto"/>
            <w:vAlign w:val="center"/>
            <w:hideMark/>
          </w:tcPr>
          <w:p w14:paraId="59EC5C50" w14:textId="26AE30B2"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5B9E4479" w14:textId="038EDEFB"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61B5C6DF" w14:textId="1B0CED25"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159B4EF4" w14:textId="59F2737D" w:rsidR="006E523C" w:rsidRPr="00CD11DE" w:rsidRDefault="006E523C" w:rsidP="006E523C">
            <w:pPr>
              <w:keepLines w:val="0"/>
              <w:spacing w:after="0" w:line="240" w:lineRule="auto"/>
              <w:jc w:val="right"/>
              <w:rPr>
                <w:rFonts w:eastAsia="Times New Roman"/>
                <w:color w:val="auto"/>
                <w:sz w:val="18"/>
                <w:szCs w:val="18"/>
              </w:rPr>
            </w:pPr>
            <w:r w:rsidRPr="00C62D72">
              <w:rPr>
                <w:sz w:val="18"/>
                <w:szCs w:val="18"/>
              </w:rPr>
              <w:t>7.3</w:t>
            </w:r>
          </w:p>
        </w:tc>
        <w:tc>
          <w:tcPr>
            <w:tcW w:w="835" w:type="pct"/>
            <w:shd w:val="clear" w:color="auto" w:fill="auto"/>
            <w:vAlign w:val="center"/>
            <w:hideMark/>
          </w:tcPr>
          <w:p w14:paraId="02309660" w14:textId="45457473" w:rsidR="006E523C" w:rsidRPr="00CD11DE" w:rsidRDefault="006E523C" w:rsidP="006E523C">
            <w:pPr>
              <w:keepLines w:val="0"/>
              <w:spacing w:after="0" w:line="240" w:lineRule="auto"/>
              <w:jc w:val="right"/>
              <w:rPr>
                <w:rFonts w:eastAsia="Times New Roman"/>
                <w:b/>
                <w:bCs/>
                <w:color w:val="auto"/>
                <w:sz w:val="18"/>
                <w:szCs w:val="18"/>
              </w:rPr>
            </w:pPr>
            <w:r w:rsidRPr="009D7121">
              <w:rPr>
                <w:b/>
                <w:bCs/>
                <w:color w:val="auto"/>
                <w:sz w:val="18"/>
                <w:szCs w:val="18"/>
              </w:rPr>
              <w:t>7.3</w:t>
            </w:r>
          </w:p>
        </w:tc>
      </w:tr>
      <w:tr w:rsidR="006E523C" w:rsidRPr="00CD11DE" w14:paraId="608027E0" w14:textId="77777777" w:rsidTr="006F3279">
        <w:trPr>
          <w:trHeight w:val="154"/>
        </w:trPr>
        <w:tc>
          <w:tcPr>
            <w:tcW w:w="824" w:type="pct"/>
            <w:shd w:val="clear" w:color="auto" w:fill="06B1D6" w:themeFill="accent1"/>
            <w:vAlign w:val="center"/>
            <w:hideMark/>
          </w:tcPr>
          <w:p w14:paraId="786705E5"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6 to </w:t>
            </w:r>
          </w:p>
          <w:p w14:paraId="235A1B0E"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12 months</w:t>
            </w:r>
          </w:p>
        </w:tc>
        <w:tc>
          <w:tcPr>
            <w:tcW w:w="835" w:type="pct"/>
            <w:shd w:val="clear" w:color="auto" w:fill="auto"/>
            <w:vAlign w:val="center"/>
            <w:hideMark/>
          </w:tcPr>
          <w:p w14:paraId="52CC9B1C" w14:textId="14914B27"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0E6775C3" w14:textId="24FCD5CF"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321D8598" w14:textId="12A33A59" w:rsidR="006E523C" w:rsidRPr="00CD11DE" w:rsidRDefault="006E523C" w:rsidP="006E523C">
            <w:pPr>
              <w:keepLines w:val="0"/>
              <w:spacing w:after="0" w:line="240" w:lineRule="auto"/>
              <w:jc w:val="right"/>
              <w:rPr>
                <w:rFonts w:eastAsia="Times New Roman"/>
                <w:color w:val="auto"/>
                <w:sz w:val="18"/>
                <w:szCs w:val="18"/>
              </w:rPr>
            </w:pPr>
            <w:r w:rsidRPr="00C62D72">
              <w:rPr>
                <w:sz w:val="18"/>
                <w:szCs w:val="18"/>
              </w:rPr>
              <w:t>25.3</w:t>
            </w:r>
          </w:p>
        </w:tc>
        <w:tc>
          <w:tcPr>
            <w:tcW w:w="835" w:type="pct"/>
            <w:shd w:val="clear" w:color="auto" w:fill="auto"/>
            <w:vAlign w:val="center"/>
            <w:hideMark/>
          </w:tcPr>
          <w:p w14:paraId="319AE432" w14:textId="1B021B23" w:rsidR="006E523C" w:rsidRPr="00CD11DE" w:rsidRDefault="006E523C" w:rsidP="006E523C">
            <w:pPr>
              <w:keepLines w:val="0"/>
              <w:spacing w:after="0" w:line="240" w:lineRule="auto"/>
              <w:jc w:val="right"/>
              <w:rPr>
                <w:color w:val="auto"/>
                <w:sz w:val="18"/>
              </w:rPr>
            </w:pPr>
            <w:r w:rsidRPr="00C62D72">
              <w:rPr>
                <w:sz w:val="18"/>
                <w:szCs w:val="18"/>
              </w:rPr>
              <w:t>3.8</w:t>
            </w:r>
          </w:p>
        </w:tc>
        <w:tc>
          <w:tcPr>
            <w:tcW w:w="835" w:type="pct"/>
            <w:shd w:val="clear" w:color="auto" w:fill="auto"/>
            <w:vAlign w:val="center"/>
            <w:hideMark/>
          </w:tcPr>
          <w:p w14:paraId="1E31330C" w14:textId="3AD7C709" w:rsidR="006E523C" w:rsidRPr="00CD11DE" w:rsidRDefault="006E523C" w:rsidP="006E523C">
            <w:pPr>
              <w:keepLines w:val="0"/>
              <w:spacing w:after="0" w:line="240" w:lineRule="auto"/>
              <w:jc w:val="right"/>
              <w:rPr>
                <w:rFonts w:eastAsia="Times New Roman"/>
                <w:b/>
                <w:bCs/>
                <w:color w:val="auto"/>
                <w:sz w:val="18"/>
                <w:szCs w:val="18"/>
              </w:rPr>
            </w:pPr>
            <w:r w:rsidRPr="009D7121">
              <w:rPr>
                <w:b/>
                <w:bCs/>
                <w:color w:val="auto"/>
                <w:sz w:val="18"/>
                <w:szCs w:val="18"/>
              </w:rPr>
              <w:t>29.1</w:t>
            </w:r>
          </w:p>
        </w:tc>
      </w:tr>
      <w:tr w:rsidR="006E523C" w:rsidRPr="00CD11DE" w14:paraId="66C73D98" w14:textId="77777777" w:rsidTr="006F3279">
        <w:trPr>
          <w:trHeight w:val="154"/>
        </w:trPr>
        <w:tc>
          <w:tcPr>
            <w:tcW w:w="824" w:type="pct"/>
            <w:shd w:val="clear" w:color="auto" w:fill="06B1D6" w:themeFill="accent1"/>
            <w:vAlign w:val="center"/>
            <w:hideMark/>
          </w:tcPr>
          <w:p w14:paraId="2F86B862"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 xml:space="preserve">Over </w:t>
            </w:r>
          </w:p>
          <w:p w14:paraId="5E5C52AE"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12 months</w:t>
            </w:r>
          </w:p>
        </w:tc>
        <w:tc>
          <w:tcPr>
            <w:tcW w:w="835" w:type="pct"/>
            <w:shd w:val="clear" w:color="auto" w:fill="auto"/>
            <w:vAlign w:val="center"/>
            <w:hideMark/>
          </w:tcPr>
          <w:p w14:paraId="16DCB734" w14:textId="02FB7C64"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2C6CFF23" w14:textId="04DFACD2" w:rsidR="006E523C" w:rsidRPr="00CD11DE" w:rsidRDefault="006E523C" w:rsidP="006E523C">
            <w:pPr>
              <w:keepLines w:val="0"/>
              <w:spacing w:after="0" w:line="240" w:lineRule="auto"/>
              <w:jc w:val="right"/>
              <w:rPr>
                <w:rFonts w:eastAsia="Times New Roman"/>
                <w:color w:val="auto"/>
                <w:sz w:val="18"/>
                <w:szCs w:val="18"/>
              </w:rPr>
            </w:pPr>
            <w:r w:rsidRPr="009D7121">
              <w:rPr>
                <w:color w:val="auto"/>
                <w:sz w:val="18"/>
                <w:szCs w:val="18"/>
              </w:rPr>
              <w:t>-</w:t>
            </w:r>
          </w:p>
        </w:tc>
        <w:tc>
          <w:tcPr>
            <w:tcW w:w="835" w:type="pct"/>
            <w:shd w:val="clear" w:color="auto" w:fill="auto"/>
            <w:vAlign w:val="center"/>
            <w:hideMark/>
          </w:tcPr>
          <w:p w14:paraId="6C84B2DC" w14:textId="13F5B961" w:rsidR="006E523C" w:rsidRPr="00CD11DE" w:rsidRDefault="006E523C" w:rsidP="006E523C">
            <w:pPr>
              <w:keepLines w:val="0"/>
              <w:spacing w:after="0" w:line="240" w:lineRule="auto"/>
              <w:jc w:val="right"/>
              <w:rPr>
                <w:rFonts w:eastAsia="Times New Roman"/>
                <w:color w:val="auto"/>
                <w:sz w:val="18"/>
                <w:szCs w:val="18"/>
              </w:rPr>
            </w:pPr>
            <w:r w:rsidRPr="00C62D72">
              <w:rPr>
                <w:sz w:val="18"/>
                <w:szCs w:val="18"/>
              </w:rPr>
              <w:t>12.6</w:t>
            </w:r>
          </w:p>
        </w:tc>
        <w:tc>
          <w:tcPr>
            <w:tcW w:w="835" w:type="pct"/>
            <w:shd w:val="clear" w:color="auto" w:fill="auto"/>
            <w:vAlign w:val="center"/>
            <w:hideMark/>
          </w:tcPr>
          <w:p w14:paraId="39CE9743" w14:textId="54D5747A" w:rsidR="006E523C" w:rsidRPr="00CD11DE" w:rsidRDefault="006E523C" w:rsidP="006E523C">
            <w:pPr>
              <w:keepLines w:val="0"/>
              <w:spacing w:after="0" w:line="240" w:lineRule="auto"/>
              <w:jc w:val="right"/>
              <w:rPr>
                <w:rFonts w:eastAsia="Times New Roman"/>
                <w:color w:val="auto"/>
                <w:sz w:val="18"/>
                <w:szCs w:val="18"/>
              </w:rPr>
            </w:pPr>
            <w:r w:rsidRPr="00C62D72">
              <w:rPr>
                <w:sz w:val="18"/>
                <w:szCs w:val="18"/>
              </w:rPr>
              <w:t>4.2</w:t>
            </w:r>
          </w:p>
        </w:tc>
        <w:tc>
          <w:tcPr>
            <w:tcW w:w="835" w:type="pct"/>
            <w:shd w:val="clear" w:color="auto" w:fill="auto"/>
            <w:vAlign w:val="center"/>
            <w:hideMark/>
          </w:tcPr>
          <w:p w14:paraId="458DAA33" w14:textId="1BE24A65" w:rsidR="006E523C" w:rsidRPr="00CD11DE" w:rsidRDefault="006E523C" w:rsidP="006E523C">
            <w:pPr>
              <w:keepLines w:val="0"/>
              <w:spacing w:after="0" w:line="240" w:lineRule="auto"/>
              <w:jc w:val="right"/>
              <w:rPr>
                <w:rFonts w:eastAsia="Times New Roman"/>
                <w:b/>
                <w:bCs/>
                <w:color w:val="auto"/>
                <w:sz w:val="18"/>
                <w:szCs w:val="18"/>
              </w:rPr>
            </w:pPr>
            <w:r w:rsidRPr="009D7121">
              <w:rPr>
                <w:b/>
                <w:bCs/>
                <w:color w:val="auto"/>
                <w:sz w:val="18"/>
                <w:szCs w:val="18"/>
              </w:rPr>
              <w:t>16.8</w:t>
            </w:r>
          </w:p>
        </w:tc>
      </w:tr>
      <w:tr w:rsidR="006E523C" w:rsidRPr="00CD11DE" w14:paraId="056E4CE6" w14:textId="77777777" w:rsidTr="006F3279">
        <w:trPr>
          <w:trHeight w:val="154"/>
        </w:trPr>
        <w:tc>
          <w:tcPr>
            <w:tcW w:w="824" w:type="pct"/>
            <w:shd w:val="clear" w:color="auto" w:fill="06B1D6" w:themeFill="accent1"/>
            <w:vAlign w:val="center"/>
            <w:hideMark/>
          </w:tcPr>
          <w:p w14:paraId="0492CC9C" w14:textId="77777777" w:rsidR="006E523C" w:rsidRPr="00CD11DE" w:rsidRDefault="006E523C" w:rsidP="006E523C">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Total gross exposure</w:t>
            </w:r>
          </w:p>
        </w:tc>
        <w:tc>
          <w:tcPr>
            <w:tcW w:w="835" w:type="pct"/>
            <w:shd w:val="clear" w:color="auto" w:fill="auto"/>
            <w:vAlign w:val="center"/>
            <w:hideMark/>
          </w:tcPr>
          <w:p w14:paraId="2FC52D7D" w14:textId="0671A438" w:rsidR="006E523C" w:rsidRPr="009D7121" w:rsidRDefault="006E523C" w:rsidP="006E523C">
            <w:pPr>
              <w:keepLines w:val="0"/>
              <w:spacing w:after="0" w:line="240" w:lineRule="auto"/>
              <w:jc w:val="right"/>
              <w:rPr>
                <w:b/>
                <w:bCs/>
                <w:sz w:val="18"/>
                <w:szCs w:val="18"/>
              </w:rPr>
            </w:pPr>
            <w:r w:rsidRPr="009D7121">
              <w:rPr>
                <w:b/>
                <w:bCs/>
                <w:sz w:val="18"/>
                <w:szCs w:val="18"/>
              </w:rPr>
              <w:t>401.6</w:t>
            </w:r>
          </w:p>
          <w:p w14:paraId="0EC02EBA" w14:textId="534CCD39" w:rsidR="006E523C" w:rsidRPr="00CD11DE" w:rsidRDefault="006E523C" w:rsidP="006E523C">
            <w:pPr>
              <w:keepLines w:val="0"/>
              <w:spacing w:after="0" w:line="240" w:lineRule="auto"/>
              <w:jc w:val="right"/>
              <w:rPr>
                <w:rFonts w:eastAsia="Times New Roman"/>
                <w:b/>
                <w:sz w:val="18"/>
                <w:szCs w:val="18"/>
              </w:rPr>
            </w:pPr>
          </w:p>
        </w:tc>
        <w:tc>
          <w:tcPr>
            <w:tcW w:w="835" w:type="pct"/>
            <w:shd w:val="clear" w:color="auto" w:fill="auto"/>
            <w:vAlign w:val="center"/>
            <w:hideMark/>
          </w:tcPr>
          <w:p w14:paraId="7DCD55EE" w14:textId="4469D6F4" w:rsidR="006E523C" w:rsidRPr="00CD11DE" w:rsidRDefault="006E523C" w:rsidP="006E523C">
            <w:pPr>
              <w:keepLines w:val="0"/>
              <w:spacing w:after="0" w:line="240" w:lineRule="auto"/>
              <w:jc w:val="right"/>
              <w:rPr>
                <w:rFonts w:eastAsia="Times New Roman"/>
                <w:b/>
                <w:sz w:val="18"/>
                <w:szCs w:val="18"/>
              </w:rPr>
            </w:pPr>
            <w:r w:rsidRPr="009D7121">
              <w:rPr>
                <w:b/>
                <w:bCs/>
                <w:sz w:val="18"/>
                <w:szCs w:val="18"/>
              </w:rPr>
              <w:t>148.7</w:t>
            </w:r>
          </w:p>
        </w:tc>
        <w:tc>
          <w:tcPr>
            <w:tcW w:w="835" w:type="pct"/>
            <w:shd w:val="clear" w:color="auto" w:fill="auto"/>
            <w:vAlign w:val="center"/>
            <w:hideMark/>
          </w:tcPr>
          <w:p w14:paraId="49668CC9" w14:textId="2B6820EA" w:rsidR="006E523C" w:rsidRPr="00CD11DE" w:rsidRDefault="006E523C" w:rsidP="006E523C">
            <w:pPr>
              <w:keepLines w:val="0"/>
              <w:spacing w:after="0" w:line="240" w:lineRule="auto"/>
              <w:jc w:val="right"/>
              <w:rPr>
                <w:rFonts w:eastAsia="Times New Roman"/>
                <w:b/>
                <w:sz w:val="18"/>
                <w:szCs w:val="18"/>
              </w:rPr>
            </w:pPr>
            <w:r w:rsidRPr="009D7121">
              <w:rPr>
                <w:b/>
                <w:bCs/>
                <w:sz w:val="18"/>
                <w:szCs w:val="18"/>
              </w:rPr>
              <w:t>899.7</w:t>
            </w:r>
          </w:p>
        </w:tc>
        <w:tc>
          <w:tcPr>
            <w:tcW w:w="835" w:type="pct"/>
            <w:shd w:val="clear" w:color="auto" w:fill="auto"/>
            <w:vAlign w:val="center"/>
            <w:hideMark/>
          </w:tcPr>
          <w:p w14:paraId="7E33E8A3" w14:textId="54C3756B" w:rsidR="006E523C" w:rsidRPr="00CD11DE" w:rsidRDefault="006E523C" w:rsidP="006E523C">
            <w:pPr>
              <w:keepLines w:val="0"/>
              <w:spacing w:after="0" w:line="240" w:lineRule="auto"/>
              <w:jc w:val="right"/>
              <w:rPr>
                <w:rFonts w:eastAsia="Times New Roman"/>
                <w:b/>
                <w:sz w:val="18"/>
                <w:szCs w:val="18"/>
              </w:rPr>
            </w:pPr>
            <w:r w:rsidRPr="009D7121">
              <w:rPr>
                <w:b/>
                <w:bCs/>
                <w:sz w:val="18"/>
                <w:szCs w:val="18"/>
              </w:rPr>
              <w:t>993.1</w:t>
            </w:r>
          </w:p>
        </w:tc>
        <w:tc>
          <w:tcPr>
            <w:tcW w:w="835" w:type="pct"/>
            <w:shd w:val="clear" w:color="auto" w:fill="auto"/>
            <w:vAlign w:val="center"/>
            <w:hideMark/>
          </w:tcPr>
          <w:p w14:paraId="2870AB74" w14:textId="697C5D7D" w:rsidR="006E523C" w:rsidRPr="00CD11DE" w:rsidRDefault="006E523C" w:rsidP="006E523C">
            <w:pPr>
              <w:keepLines w:val="0"/>
              <w:spacing w:after="0" w:line="240" w:lineRule="auto"/>
              <w:jc w:val="right"/>
              <w:rPr>
                <w:rFonts w:eastAsia="Times New Roman"/>
                <w:b/>
                <w:bCs/>
                <w:sz w:val="18"/>
                <w:szCs w:val="18"/>
              </w:rPr>
            </w:pPr>
            <w:r w:rsidRPr="009D7121">
              <w:rPr>
                <w:b/>
                <w:bCs/>
                <w:sz w:val="18"/>
                <w:szCs w:val="18"/>
              </w:rPr>
              <w:t>2,443.1</w:t>
            </w:r>
          </w:p>
        </w:tc>
      </w:tr>
    </w:tbl>
    <w:p w14:paraId="7388B92A" w14:textId="77777777" w:rsidR="00350AC0" w:rsidRPr="00C62D72" w:rsidRDefault="00350AC0" w:rsidP="00B35480"/>
    <w:p w14:paraId="4448313A" w14:textId="77777777" w:rsidR="00103D1E" w:rsidRPr="00C62D72" w:rsidRDefault="00103D1E" w:rsidP="00350AC0"/>
    <w:p w14:paraId="5FB71EB2" w14:textId="77777777" w:rsidR="00103D1E" w:rsidRDefault="00103D1E" w:rsidP="00350AC0"/>
    <w:p w14:paraId="3100A8C1" w14:textId="77777777" w:rsidR="00E770F5" w:rsidRPr="00C62D72" w:rsidRDefault="00E770F5" w:rsidP="00350AC0"/>
    <w:p w14:paraId="288F8FA1" w14:textId="3011DFD9" w:rsidR="00103D1E" w:rsidRPr="00CD11DE" w:rsidRDefault="00103D1E" w:rsidP="00F260C3">
      <w:pPr>
        <w:pStyle w:val="Caption"/>
      </w:pPr>
      <w:r w:rsidRPr="00CD11DE">
        <w:lastRenderedPageBreak/>
        <w:t xml:space="preserve">Table </w:t>
      </w:r>
      <w:r w:rsidRPr="00CD11DE">
        <w:fldChar w:fldCharType="begin"/>
      </w:r>
      <w:r w:rsidRPr="00CD11DE">
        <w:instrText xml:space="preserve"> SEQ Table \* ARABIC </w:instrText>
      </w:r>
      <w:r w:rsidRPr="00CD11DE">
        <w:fldChar w:fldCharType="separate"/>
      </w:r>
      <w:r w:rsidRPr="00CD11DE">
        <w:rPr>
          <w:noProof/>
        </w:rPr>
        <w:t>27</w:t>
      </w:r>
      <w:r w:rsidRPr="00CD11DE">
        <w:fldChar w:fldCharType="end"/>
      </w:r>
      <w:r w:rsidRPr="00CD11DE">
        <w:t xml:space="preserve">: The movement in impairment provisions for the year ended 31 December </w:t>
      </w:r>
      <w:r w:rsidR="0023087C">
        <w:t>2024</w:t>
      </w:r>
    </w:p>
    <w:tbl>
      <w:tblPr>
        <w:tblpPr w:leftFromText="180" w:rightFromText="180" w:vertAnchor="text" w:horzAnchor="margin" w:tblpY="63"/>
        <w:tblW w:w="4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29"/>
        <w:gridCol w:w="1270"/>
        <w:gridCol w:w="1270"/>
        <w:gridCol w:w="1109"/>
      </w:tblGrid>
      <w:tr w:rsidR="00041BD0" w:rsidRPr="00CD11DE" w14:paraId="0226DAF4" w14:textId="77777777" w:rsidTr="006F3279">
        <w:trPr>
          <w:trHeight w:val="581"/>
        </w:trPr>
        <w:tc>
          <w:tcPr>
            <w:tcW w:w="1919" w:type="pct"/>
            <w:shd w:val="clear" w:color="auto" w:fill="06B1D6" w:themeFill="accent1"/>
            <w:vAlign w:val="center"/>
            <w:hideMark/>
          </w:tcPr>
          <w:p w14:paraId="5CECD754" w14:textId="41287D0A" w:rsidR="00103D1E" w:rsidRPr="00CD11DE" w:rsidRDefault="00103D1E" w:rsidP="00B35480">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ECL Stage </w:t>
            </w:r>
          </w:p>
        </w:tc>
        <w:tc>
          <w:tcPr>
            <w:tcW w:w="728" w:type="pct"/>
            <w:shd w:val="clear" w:color="auto" w:fill="06B1D6" w:themeFill="accent1"/>
            <w:vAlign w:val="center"/>
            <w:hideMark/>
          </w:tcPr>
          <w:p w14:paraId="050D89B6" w14:textId="72A6C2ED"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Stage 1</w:t>
            </w:r>
          </w:p>
          <w:p w14:paraId="7368B693" w14:textId="77777777"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19" w:type="pct"/>
            <w:shd w:val="clear" w:color="auto" w:fill="06B1D6" w:themeFill="accent1"/>
            <w:vAlign w:val="center"/>
            <w:hideMark/>
          </w:tcPr>
          <w:p w14:paraId="13310CBB" w14:textId="199F7A49"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Stage 2</w:t>
            </w:r>
          </w:p>
          <w:p w14:paraId="5BC227FD" w14:textId="77777777"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819" w:type="pct"/>
            <w:shd w:val="clear" w:color="auto" w:fill="06B1D6" w:themeFill="accent1"/>
            <w:vAlign w:val="center"/>
            <w:hideMark/>
          </w:tcPr>
          <w:p w14:paraId="42850EBE" w14:textId="4F8B19B9"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Stage 3</w:t>
            </w:r>
          </w:p>
          <w:p w14:paraId="05937634" w14:textId="77777777"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c>
          <w:tcPr>
            <w:tcW w:w="716" w:type="pct"/>
            <w:shd w:val="clear" w:color="auto" w:fill="06B1D6" w:themeFill="accent1"/>
            <w:vAlign w:val="center"/>
            <w:hideMark/>
          </w:tcPr>
          <w:p w14:paraId="3131B403" w14:textId="77777777"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Total</w:t>
            </w:r>
          </w:p>
          <w:p w14:paraId="5AD395CE" w14:textId="77777777" w:rsidR="00103D1E" w:rsidRPr="00CD11DE" w:rsidRDefault="00103D1E" w:rsidP="00B35480">
            <w:pPr>
              <w:keepLines w:val="0"/>
              <w:spacing w:after="0" w:line="240" w:lineRule="auto"/>
              <w:jc w:val="right"/>
              <w:rPr>
                <w:rFonts w:eastAsia="Times New Roman"/>
                <w:b/>
                <w:bCs/>
                <w:color w:val="FFFFFF"/>
                <w:sz w:val="18"/>
                <w:szCs w:val="18"/>
              </w:rPr>
            </w:pPr>
            <w:r w:rsidRPr="00CD11DE">
              <w:rPr>
                <w:rFonts w:eastAsia="Times New Roman"/>
                <w:b/>
                <w:bCs/>
                <w:color w:val="FFFFFF"/>
                <w:sz w:val="18"/>
                <w:szCs w:val="18"/>
              </w:rPr>
              <w:t>£m</w:t>
            </w:r>
          </w:p>
        </w:tc>
      </w:tr>
      <w:tr w:rsidR="00E25E6B" w:rsidRPr="00CD11DE" w14:paraId="6CFF9776" w14:textId="77777777" w:rsidTr="006F3279">
        <w:trPr>
          <w:trHeight w:val="222"/>
        </w:trPr>
        <w:tc>
          <w:tcPr>
            <w:tcW w:w="1919" w:type="pct"/>
            <w:shd w:val="clear" w:color="auto" w:fill="06B1D6" w:themeFill="accent1"/>
            <w:vAlign w:val="center"/>
            <w:hideMark/>
          </w:tcPr>
          <w:p w14:paraId="27AA7153" w14:textId="38C55D53" w:rsidR="00E25E6B" w:rsidRPr="00CD11DE" w:rsidRDefault="00E25E6B" w:rsidP="00E25E6B">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Balance at 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January </w:t>
            </w:r>
            <w:r>
              <w:rPr>
                <w:rFonts w:eastAsia="Times New Roman"/>
                <w:b/>
                <w:bCs/>
                <w:color w:val="FFFFFF"/>
                <w:sz w:val="18"/>
                <w:szCs w:val="18"/>
              </w:rPr>
              <w:t>2024</w:t>
            </w:r>
          </w:p>
        </w:tc>
        <w:tc>
          <w:tcPr>
            <w:tcW w:w="728" w:type="pct"/>
            <w:shd w:val="clear" w:color="auto" w:fill="auto"/>
          </w:tcPr>
          <w:p w14:paraId="50CA36D9" w14:textId="614A3B43" w:rsidR="00E25E6B" w:rsidRPr="007E0530" w:rsidRDefault="00E25E6B" w:rsidP="00E25E6B">
            <w:pPr>
              <w:keepLines w:val="0"/>
              <w:spacing w:after="0" w:line="240" w:lineRule="auto"/>
              <w:jc w:val="right"/>
              <w:rPr>
                <w:rFonts w:eastAsia="Times New Roman"/>
                <w:b/>
                <w:bCs/>
                <w:color w:val="auto"/>
                <w:sz w:val="18"/>
                <w:szCs w:val="18"/>
              </w:rPr>
            </w:pPr>
            <w:r w:rsidRPr="007E0530">
              <w:rPr>
                <w:b/>
                <w:bCs/>
                <w:sz w:val="18"/>
                <w:szCs w:val="18"/>
              </w:rPr>
              <w:t>0.</w:t>
            </w:r>
            <w:r w:rsidR="00A30EB4">
              <w:rPr>
                <w:b/>
                <w:bCs/>
                <w:sz w:val="18"/>
                <w:szCs w:val="18"/>
              </w:rPr>
              <w:t>4</w:t>
            </w:r>
            <w:r w:rsidRPr="007E0530">
              <w:rPr>
                <w:b/>
                <w:bCs/>
                <w:sz w:val="18"/>
                <w:szCs w:val="18"/>
              </w:rPr>
              <w:t xml:space="preserve"> </w:t>
            </w:r>
          </w:p>
        </w:tc>
        <w:tc>
          <w:tcPr>
            <w:tcW w:w="819" w:type="pct"/>
            <w:shd w:val="clear" w:color="auto" w:fill="auto"/>
          </w:tcPr>
          <w:p w14:paraId="78A70E6D" w14:textId="77D05832" w:rsidR="00E25E6B" w:rsidRPr="007E0530" w:rsidRDefault="00E25E6B" w:rsidP="00E25E6B">
            <w:pPr>
              <w:keepLines w:val="0"/>
              <w:spacing w:after="0" w:line="240" w:lineRule="auto"/>
              <w:jc w:val="right"/>
              <w:rPr>
                <w:rFonts w:eastAsia="Times New Roman"/>
                <w:b/>
                <w:bCs/>
                <w:color w:val="auto"/>
                <w:sz w:val="18"/>
                <w:szCs w:val="18"/>
              </w:rPr>
            </w:pPr>
            <w:r w:rsidRPr="007E0530">
              <w:rPr>
                <w:b/>
                <w:bCs/>
                <w:sz w:val="18"/>
                <w:szCs w:val="18"/>
              </w:rPr>
              <w:t xml:space="preserve">0.1 </w:t>
            </w:r>
          </w:p>
        </w:tc>
        <w:tc>
          <w:tcPr>
            <w:tcW w:w="819" w:type="pct"/>
            <w:shd w:val="clear" w:color="auto" w:fill="auto"/>
          </w:tcPr>
          <w:p w14:paraId="3BE16582" w14:textId="0ED474B9" w:rsidR="00E25E6B" w:rsidRPr="007E0530" w:rsidRDefault="00E25E6B" w:rsidP="00E25E6B">
            <w:pPr>
              <w:keepLines w:val="0"/>
              <w:spacing w:after="0" w:line="240" w:lineRule="auto"/>
              <w:jc w:val="right"/>
              <w:rPr>
                <w:rFonts w:eastAsia="Times New Roman"/>
                <w:b/>
                <w:bCs/>
                <w:color w:val="auto"/>
                <w:sz w:val="18"/>
                <w:szCs w:val="18"/>
              </w:rPr>
            </w:pPr>
            <w:r w:rsidRPr="007E0530">
              <w:rPr>
                <w:b/>
                <w:bCs/>
                <w:sz w:val="18"/>
                <w:szCs w:val="18"/>
              </w:rPr>
              <w:t xml:space="preserve">4.6 </w:t>
            </w:r>
          </w:p>
        </w:tc>
        <w:tc>
          <w:tcPr>
            <w:tcW w:w="716" w:type="pct"/>
            <w:shd w:val="clear" w:color="auto" w:fill="auto"/>
          </w:tcPr>
          <w:p w14:paraId="0643AAE4" w14:textId="0220A8F5" w:rsidR="00E25E6B" w:rsidRPr="00E25E6B" w:rsidRDefault="00E25E6B" w:rsidP="00E25E6B">
            <w:pPr>
              <w:keepLines w:val="0"/>
              <w:spacing w:after="0" w:line="240" w:lineRule="auto"/>
              <w:jc w:val="right"/>
              <w:rPr>
                <w:rFonts w:eastAsia="Times New Roman"/>
                <w:b/>
                <w:bCs/>
                <w:color w:val="auto"/>
                <w:sz w:val="18"/>
                <w:szCs w:val="18"/>
              </w:rPr>
            </w:pPr>
            <w:r w:rsidRPr="007E0530">
              <w:rPr>
                <w:b/>
                <w:bCs/>
                <w:sz w:val="18"/>
                <w:szCs w:val="18"/>
              </w:rPr>
              <w:t>5.</w:t>
            </w:r>
            <w:r w:rsidR="00A30EB4">
              <w:rPr>
                <w:b/>
                <w:bCs/>
                <w:sz w:val="18"/>
                <w:szCs w:val="18"/>
              </w:rPr>
              <w:t>1</w:t>
            </w:r>
            <w:r w:rsidRPr="007E0530">
              <w:rPr>
                <w:b/>
                <w:bCs/>
                <w:sz w:val="18"/>
                <w:szCs w:val="18"/>
              </w:rPr>
              <w:t xml:space="preserve"> </w:t>
            </w:r>
          </w:p>
        </w:tc>
      </w:tr>
      <w:tr w:rsidR="00E25E6B" w:rsidRPr="00CD11DE" w14:paraId="2E05BB2D" w14:textId="77777777" w:rsidTr="006F3279">
        <w:trPr>
          <w:trHeight w:val="222"/>
        </w:trPr>
        <w:tc>
          <w:tcPr>
            <w:tcW w:w="1919" w:type="pct"/>
            <w:shd w:val="clear" w:color="auto" w:fill="06B1D6" w:themeFill="accent1"/>
            <w:vAlign w:val="center"/>
            <w:hideMark/>
          </w:tcPr>
          <w:p w14:paraId="24627145" w14:textId="7FF90D67" w:rsidR="00E25E6B" w:rsidRPr="00CD11DE" w:rsidRDefault="00E25E6B" w:rsidP="00E25E6B">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Charge for the year</w:t>
            </w:r>
          </w:p>
        </w:tc>
        <w:tc>
          <w:tcPr>
            <w:tcW w:w="728" w:type="pct"/>
            <w:shd w:val="clear" w:color="auto" w:fill="auto"/>
          </w:tcPr>
          <w:p w14:paraId="6FA03104" w14:textId="3EB5C075" w:rsidR="00E25E6B" w:rsidRPr="00E25E6B" w:rsidRDefault="00A30EB4" w:rsidP="00E25E6B">
            <w:pPr>
              <w:keepLines w:val="0"/>
              <w:spacing w:after="0" w:line="240" w:lineRule="auto"/>
              <w:jc w:val="right"/>
              <w:rPr>
                <w:rFonts w:eastAsia="Times New Roman"/>
                <w:bCs/>
                <w:color w:val="auto"/>
                <w:sz w:val="18"/>
                <w:szCs w:val="18"/>
              </w:rPr>
            </w:pPr>
            <w:r>
              <w:rPr>
                <w:sz w:val="18"/>
                <w:szCs w:val="18"/>
              </w:rPr>
              <w:t>-</w:t>
            </w:r>
            <w:r w:rsidR="00E25E6B" w:rsidRPr="007E0530">
              <w:rPr>
                <w:sz w:val="18"/>
                <w:szCs w:val="18"/>
              </w:rPr>
              <w:t xml:space="preserve"> </w:t>
            </w:r>
          </w:p>
        </w:tc>
        <w:tc>
          <w:tcPr>
            <w:tcW w:w="819" w:type="pct"/>
            <w:shd w:val="clear" w:color="auto" w:fill="auto"/>
          </w:tcPr>
          <w:p w14:paraId="6F855532" w14:textId="53098A32" w:rsidR="00E25E6B" w:rsidRPr="00E25E6B" w:rsidRDefault="00A30EB4" w:rsidP="00E25E6B">
            <w:pPr>
              <w:keepLines w:val="0"/>
              <w:spacing w:after="0" w:line="240" w:lineRule="auto"/>
              <w:jc w:val="right"/>
              <w:rPr>
                <w:rFonts w:eastAsia="Times New Roman"/>
                <w:bCs/>
                <w:color w:val="auto"/>
                <w:sz w:val="18"/>
                <w:szCs w:val="18"/>
              </w:rPr>
            </w:pPr>
            <w:r>
              <w:rPr>
                <w:sz w:val="18"/>
                <w:szCs w:val="18"/>
              </w:rPr>
              <w:t>-</w:t>
            </w:r>
          </w:p>
        </w:tc>
        <w:tc>
          <w:tcPr>
            <w:tcW w:w="819" w:type="pct"/>
            <w:shd w:val="clear" w:color="auto" w:fill="auto"/>
          </w:tcPr>
          <w:p w14:paraId="69224AFC" w14:textId="30077403" w:rsidR="00E25E6B" w:rsidRPr="00E25E6B" w:rsidRDefault="00E25E6B" w:rsidP="00E25E6B">
            <w:pPr>
              <w:keepLines w:val="0"/>
              <w:spacing w:after="0" w:line="240" w:lineRule="auto"/>
              <w:jc w:val="right"/>
              <w:rPr>
                <w:rFonts w:eastAsia="Times New Roman"/>
                <w:bCs/>
                <w:color w:val="auto"/>
                <w:sz w:val="18"/>
                <w:szCs w:val="18"/>
              </w:rPr>
            </w:pPr>
            <w:r w:rsidRPr="007E0530">
              <w:rPr>
                <w:sz w:val="18"/>
                <w:szCs w:val="18"/>
              </w:rPr>
              <w:t xml:space="preserve">2.9 </w:t>
            </w:r>
          </w:p>
        </w:tc>
        <w:tc>
          <w:tcPr>
            <w:tcW w:w="716" w:type="pct"/>
            <w:shd w:val="clear" w:color="auto" w:fill="auto"/>
          </w:tcPr>
          <w:p w14:paraId="148E314B" w14:textId="28FA5462" w:rsidR="00E25E6B" w:rsidRPr="00E25E6B" w:rsidRDefault="00E25E6B" w:rsidP="00E25E6B">
            <w:pPr>
              <w:keepLines w:val="0"/>
              <w:spacing w:after="0" w:line="240" w:lineRule="auto"/>
              <w:jc w:val="right"/>
              <w:rPr>
                <w:rFonts w:eastAsia="Times New Roman"/>
                <w:b/>
                <w:bCs/>
                <w:color w:val="auto"/>
                <w:sz w:val="18"/>
                <w:szCs w:val="18"/>
              </w:rPr>
            </w:pPr>
            <w:r w:rsidRPr="007E0530">
              <w:rPr>
                <w:sz w:val="18"/>
                <w:szCs w:val="18"/>
              </w:rPr>
              <w:t xml:space="preserve">2.9 </w:t>
            </w:r>
          </w:p>
        </w:tc>
      </w:tr>
      <w:tr w:rsidR="00E25E6B" w:rsidRPr="00CD11DE" w14:paraId="6B5FDD45" w14:textId="77777777" w:rsidTr="006F3279">
        <w:trPr>
          <w:trHeight w:val="222"/>
        </w:trPr>
        <w:tc>
          <w:tcPr>
            <w:tcW w:w="1919" w:type="pct"/>
            <w:shd w:val="clear" w:color="auto" w:fill="06B1D6" w:themeFill="accent1"/>
            <w:vAlign w:val="center"/>
            <w:hideMark/>
          </w:tcPr>
          <w:p w14:paraId="2CEA7847" w14:textId="77777777" w:rsidR="00E25E6B" w:rsidRPr="00CD11DE" w:rsidRDefault="00E25E6B" w:rsidP="00E25E6B">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Amounts written off during the year</w:t>
            </w:r>
          </w:p>
        </w:tc>
        <w:tc>
          <w:tcPr>
            <w:tcW w:w="728" w:type="pct"/>
            <w:shd w:val="clear" w:color="auto" w:fill="auto"/>
          </w:tcPr>
          <w:p w14:paraId="3A1507D9" w14:textId="309D5566" w:rsidR="00A30EB4" w:rsidRPr="007E0530" w:rsidRDefault="00A30EB4" w:rsidP="00A30EB4">
            <w:pPr>
              <w:keepLines w:val="0"/>
              <w:spacing w:after="0" w:line="240" w:lineRule="auto"/>
              <w:jc w:val="right"/>
              <w:rPr>
                <w:sz w:val="18"/>
                <w:szCs w:val="18"/>
              </w:rPr>
            </w:pPr>
            <w:r>
              <w:rPr>
                <w:bCs/>
                <w:sz w:val="18"/>
                <w:szCs w:val="18"/>
              </w:rPr>
              <w:t>-</w:t>
            </w:r>
          </w:p>
        </w:tc>
        <w:tc>
          <w:tcPr>
            <w:tcW w:w="819" w:type="pct"/>
            <w:shd w:val="clear" w:color="auto" w:fill="auto"/>
          </w:tcPr>
          <w:p w14:paraId="53DAD152" w14:textId="5F99BB6A" w:rsidR="00E25E6B" w:rsidRPr="00E25E6B" w:rsidRDefault="00A30EB4" w:rsidP="00E25E6B">
            <w:pPr>
              <w:keepLines w:val="0"/>
              <w:spacing w:after="0" w:line="240" w:lineRule="auto"/>
              <w:jc w:val="right"/>
              <w:rPr>
                <w:rFonts w:eastAsia="Times New Roman"/>
                <w:bCs/>
                <w:color w:val="auto"/>
                <w:sz w:val="18"/>
                <w:szCs w:val="18"/>
              </w:rPr>
            </w:pPr>
            <w:r>
              <w:rPr>
                <w:sz w:val="18"/>
                <w:szCs w:val="18"/>
              </w:rPr>
              <w:t>-</w:t>
            </w:r>
            <w:r w:rsidR="00E25E6B" w:rsidRPr="007E0530">
              <w:rPr>
                <w:sz w:val="18"/>
                <w:szCs w:val="18"/>
              </w:rPr>
              <w:t xml:space="preserve"> </w:t>
            </w:r>
          </w:p>
        </w:tc>
        <w:tc>
          <w:tcPr>
            <w:tcW w:w="819" w:type="pct"/>
            <w:shd w:val="clear" w:color="auto" w:fill="auto"/>
          </w:tcPr>
          <w:p w14:paraId="0C9D0731" w14:textId="4DCD74A4" w:rsidR="00E25E6B" w:rsidRPr="00E25E6B" w:rsidRDefault="00A30EB4" w:rsidP="00E25E6B">
            <w:pPr>
              <w:keepLines w:val="0"/>
              <w:spacing w:after="0" w:line="240" w:lineRule="auto"/>
              <w:jc w:val="right"/>
              <w:rPr>
                <w:rFonts w:eastAsia="Times New Roman"/>
                <w:bCs/>
                <w:color w:val="auto"/>
                <w:sz w:val="18"/>
                <w:szCs w:val="18"/>
              </w:rPr>
            </w:pPr>
            <w:r>
              <w:rPr>
                <w:sz w:val="18"/>
                <w:szCs w:val="18"/>
              </w:rPr>
              <w:t>-</w:t>
            </w:r>
            <w:r w:rsidR="00E25E6B" w:rsidRPr="007E0530">
              <w:rPr>
                <w:sz w:val="18"/>
                <w:szCs w:val="18"/>
              </w:rPr>
              <w:t xml:space="preserve"> </w:t>
            </w:r>
          </w:p>
        </w:tc>
        <w:tc>
          <w:tcPr>
            <w:tcW w:w="716" w:type="pct"/>
            <w:shd w:val="clear" w:color="auto" w:fill="auto"/>
          </w:tcPr>
          <w:p w14:paraId="78E45A0F" w14:textId="55509921" w:rsidR="00E25E6B" w:rsidRPr="00E25E6B" w:rsidRDefault="00A30EB4" w:rsidP="00E25E6B">
            <w:pPr>
              <w:keepLines w:val="0"/>
              <w:spacing w:after="0" w:line="240" w:lineRule="auto"/>
              <w:jc w:val="right"/>
              <w:rPr>
                <w:rFonts w:eastAsia="Times New Roman"/>
                <w:b/>
                <w:bCs/>
                <w:color w:val="auto"/>
                <w:sz w:val="18"/>
                <w:szCs w:val="18"/>
              </w:rPr>
            </w:pPr>
            <w:r>
              <w:rPr>
                <w:sz w:val="18"/>
                <w:szCs w:val="18"/>
              </w:rPr>
              <w:t>-</w:t>
            </w:r>
            <w:r w:rsidR="00E25E6B" w:rsidRPr="007E0530">
              <w:rPr>
                <w:sz w:val="18"/>
                <w:szCs w:val="18"/>
              </w:rPr>
              <w:t xml:space="preserve"> </w:t>
            </w:r>
          </w:p>
        </w:tc>
      </w:tr>
      <w:tr w:rsidR="00E25E6B" w:rsidRPr="00E25E6B" w14:paraId="59B4D128" w14:textId="77777777" w:rsidTr="006F3279">
        <w:trPr>
          <w:trHeight w:val="222"/>
        </w:trPr>
        <w:tc>
          <w:tcPr>
            <w:tcW w:w="1919" w:type="pct"/>
            <w:shd w:val="clear" w:color="auto" w:fill="06B1D6" w:themeFill="accent1"/>
            <w:vAlign w:val="center"/>
            <w:hideMark/>
          </w:tcPr>
          <w:p w14:paraId="57B88897" w14:textId="100F77C2" w:rsidR="00E25E6B" w:rsidRPr="00CD11DE" w:rsidRDefault="00E25E6B" w:rsidP="00E25E6B">
            <w:pPr>
              <w:keepLines w:val="0"/>
              <w:spacing w:after="0" w:line="240" w:lineRule="auto"/>
              <w:jc w:val="left"/>
              <w:rPr>
                <w:rFonts w:eastAsia="Times New Roman"/>
                <w:b/>
                <w:bCs/>
                <w:color w:val="FFFFFF"/>
                <w:sz w:val="18"/>
                <w:szCs w:val="18"/>
              </w:rPr>
            </w:pPr>
            <w:r w:rsidRPr="00CD11DE">
              <w:rPr>
                <w:rFonts w:eastAsia="Times New Roman"/>
                <w:b/>
                <w:bCs/>
                <w:color w:val="FFFFFF"/>
                <w:sz w:val="18"/>
                <w:szCs w:val="18"/>
              </w:rPr>
              <w:t>Balance at 31</w:t>
            </w:r>
            <w:r w:rsidRPr="00CD11DE">
              <w:rPr>
                <w:rFonts w:eastAsia="Times New Roman"/>
                <w:b/>
                <w:bCs/>
                <w:color w:val="FFFFFF"/>
                <w:sz w:val="18"/>
                <w:szCs w:val="18"/>
                <w:vertAlign w:val="superscript"/>
              </w:rPr>
              <w:t>st</w:t>
            </w:r>
            <w:r w:rsidRPr="00CD11DE">
              <w:rPr>
                <w:rFonts w:eastAsia="Times New Roman"/>
                <w:b/>
                <w:bCs/>
                <w:color w:val="FFFFFF"/>
                <w:sz w:val="18"/>
                <w:szCs w:val="18"/>
              </w:rPr>
              <w:t xml:space="preserve"> December </w:t>
            </w:r>
            <w:r>
              <w:rPr>
                <w:rFonts w:eastAsia="Times New Roman"/>
                <w:b/>
                <w:bCs/>
                <w:color w:val="FFFFFF"/>
                <w:sz w:val="18"/>
                <w:szCs w:val="18"/>
              </w:rPr>
              <w:t>2024</w:t>
            </w:r>
          </w:p>
        </w:tc>
        <w:tc>
          <w:tcPr>
            <w:tcW w:w="728" w:type="pct"/>
            <w:shd w:val="clear" w:color="auto" w:fill="auto"/>
          </w:tcPr>
          <w:p w14:paraId="5D5CF1AE" w14:textId="3C720F1D" w:rsidR="00E25E6B" w:rsidRPr="00E25E6B" w:rsidRDefault="00E25E6B" w:rsidP="00E25E6B">
            <w:pPr>
              <w:keepLines w:val="0"/>
              <w:spacing w:after="0" w:line="240" w:lineRule="auto"/>
              <w:jc w:val="right"/>
              <w:rPr>
                <w:rFonts w:eastAsia="Times New Roman"/>
                <w:b/>
                <w:bCs/>
                <w:color w:val="auto"/>
                <w:sz w:val="18"/>
                <w:szCs w:val="18"/>
              </w:rPr>
            </w:pPr>
            <w:r w:rsidRPr="007E0530">
              <w:rPr>
                <w:b/>
                <w:bCs/>
                <w:sz w:val="18"/>
                <w:szCs w:val="18"/>
              </w:rPr>
              <w:t xml:space="preserve">0.4 </w:t>
            </w:r>
          </w:p>
        </w:tc>
        <w:tc>
          <w:tcPr>
            <w:tcW w:w="819" w:type="pct"/>
            <w:shd w:val="clear" w:color="auto" w:fill="auto"/>
          </w:tcPr>
          <w:p w14:paraId="51B07E78" w14:textId="5A139DC9" w:rsidR="00E25E6B" w:rsidRPr="00E25E6B" w:rsidRDefault="00E25E6B" w:rsidP="00E25E6B">
            <w:pPr>
              <w:keepLines w:val="0"/>
              <w:spacing w:after="0" w:line="240" w:lineRule="auto"/>
              <w:jc w:val="right"/>
              <w:rPr>
                <w:rFonts w:eastAsia="Times New Roman"/>
                <w:b/>
                <w:bCs/>
                <w:color w:val="auto"/>
                <w:sz w:val="18"/>
                <w:szCs w:val="18"/>
              </w:rPr>
            </w:pPr>
            <w:r w:rsidRPr="007E0530">
              <w:rPr>
                <w:b/>
                <w:bCs/>
                <w:sz w:val="18"/>
                <w:szCs w:val="18"/>
              </w:rPr>
              <w:t>0.</w:t>
            </w:r>
            <w:r w:rsidR="00A30EB4">
              <w:rPr>
                <w:b/>
                <w:bCs/>
                <w:sz w:val="18"/>
                <w:szCs w:val="18"/>
              </w:rPr>
              <w:t>1</w:t>
            </w:r>
            <w:r w:rsidRPr="007E0530">
              <w:rPr>
                <w:b/>
                <w:bCs/>
                <w:sz w:val="18"/>
                <w:szCs w:val="18"/>
              </w:rPr>
              <w:t xml:space="preserve"> </w:t>
            </w:r>
          </w:p>
        </w:tc>
        <w:tc>
          <w:tcPr>
            <w:tcW w:w="819" w:type="pct"/>
            <w:shd w:val="clear" w:color="auto" w:fill="auto"/>
          </w:tcPr>
          <w:p w14:paraId="7AF0AEC3" w14:textId="3D9916D7" w:rsidR="00E25E6B" w:rsidRPr="00E25E6B" w:rsidRDefault="00E25E6B" w:rsidP="00E25E6B">
            <w:pPr>
              <w:keepLines w:val="0"/>
              <w:spacing w:after="0" w:line="240" w:lineRule="auto"/>
              <w:jc w:val="right"/>
              <w:rPr>
                <w:rFonts w:eastAsia="Times New Roman"/>
                <w:b/>
                <w:bCs/>
                <w:color w:val="auto"/>
                <w:sz w:val="18"/>
                <w:szCs w:val="18"/>
              </w:rPr>
            </w:pPr>
            <w:r w:rsidRPr="007E0530">
              <w:rPr>
                <w:b/>
                <w:bCs/>
                <w:sz w:val="18"/>
                <w:szCs w:val="18"/>
              </w:rPr>
              <w:t xml:space="preserve">7.5 </w:t>
            </w:r>
          </w:p>
        </w:tc>
        <w:tc>
          <w:tcPr>
            <w:tcW w:w="716" w:type="pct"/>
            <w:shd w:val="clear" w:color="auto" w:fill="auto"/>
          </w:tcPr>
          <w:p w14:paraId="454741D1" w14:textId="350E0262" w:rsidR="00E25E6B" w:rsidRPr="00E25E6B" w:rsidRDefault="00E25E6B" w:rsidP="00E25E6B">
            <w:pPr>
              <w:keepLines w:val="0"/>
              <w:spacing w:after="0" w:line="240" w:lineRule="auto"/>
              <w:jc w:val="right"/>
              <w:rPr>
                <w:rFonts w:eastAsia="Times New Roman"/>
                <w:b/>
                <w:bCs/>
                <w:color w:val="auto"/>
                <w:sz w:val="18"/>
                <w:szCs w:val="18"/>
              </w:rPr>
            </w:pPr>
            <w:r w:rsidRPr="007E0530">
              <w:rPr>
                <w:b/>
                <w:bCs/>
                <w:sz w:val="18"/>
                <w:szCs w:val="18"/>
              </w:rPr>
              <w:t xml:space="preserve">8.0 </w:t>
            </w:r>
          </w:p>
        </w:tc>
      </w:tr>
    </w:tbl>
    <w:p w14:paraId="1ECEDB4B" w14:textId="77777777" w:rsidR="00103D1E" w:rsidRPr="00C62D72" w:rsidRDefault="00103D1E" w:rsidP="00350AC0"/>
    <w:p w14:paraId="6907A7F3" w14:textId="77777777" w:rsidR="00303253" w:rsidRPr="00C62D72" w:rsidRDefault="00303253" w:rsidP="00285B0B">
      <w:pPr>
        <w:pStyle w:val="Heading1"/>
        <w:rPr>
          <w:lang w:val="en-GB"/>
        </w:rPr>
      </w:pPr>
    </w:p>
    <w:sectPr w:rsidR="00303253" w:rsidRPr="00C62D72" w:rsidSect="00F22F02">
      <w:pgSz w:w="11906" w:h="16838"/>
      <w:pgMar w:top="1985" w:right="1429" w:bottom="1525"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2BD7A" w14:textId="77777777" w:rsidR="007A34E5" w:rsidRDefault="007A34E5">
      <w:pPr>
        <w:spacing w:after="0" w:line="240" w:lineRule="auto"/>
      </w:pPr>
      <w:r>
        <w:separator/>
      </w:r>
    </w:p>
  </w:endnote>
  <w:endnote w:type="continuationSeparator" w:id="0">
    <w:p w14:paraId="73AB732E" w14:textId="77777777" w:rsidR="007A34E5" w:rsidRDefault="007A34E5">
      <w:pPr>
        <w:spacing w:after="0" w:line="240" w:lineRule="auto"/>
      </w:pPr>
      <w:r>
        <w:continuationSeparator/>
      </w:r>
    </w:p>
  </w:endnote>
  <w:endnote w:type="continuationNotice" w:id="1">
    <w:p w14:paraId="15677CF8" w14:textId="77777777" w:rsidR="007A34E5" w:rsidRDefault="007A3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D3A0" w14:textId="77777777" w:rsidR="00A22F65" w:rsidRDefault="00A22F65">
    <w:pPr>
      <w:spacing w:after="0" w:line="259" w:lineRule="auto"/>
      <w:ind w:right="1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5B22" w14:textId="0369E6A1" w:rsidR="00A22F65" w:rsidRPr="00845681" w:rsidRDefault="00A22F65" w:rsidP="006B09A1">
    <w:pPr>
      <w:tabs>
        <w:tab w:val="left" w:pos="1575"/>
      </w:tabs>
      <w:spacing w:after="0" w:line="259" w:lineRule="auto"/>
      <w:ind w:right="10"/>
      <w:rPr>
        <w:sz w:val="16"/>
        <w:szCs w:val="16"/>
      </w:rPr>
    </w:pPr>
    <w:r w:rsidRPr="00845681">
      <w:rPr>
        <w:sz w:val="16"/>
        <w:szCs w:val="16"/>
      </w:rPr>
      <w:t>Pillar 3 Disclosures 31</w:t>
    </w:r>
    <w:r w:rsidR="00E6686D" w:rsidRPr="00B35480">
      <w:rPr>
        <w:sz w:val="16"/>
        <w:szCs w:val="16"/>
        <w:vertAlign w:val="superscript"/>
      </w:rPr>
      <w:t>st</w:t>
    </w:r>
    <w:r w:rsidRPr="00845681">
      <w:rPr>
        <w:sz w:val="16"/>
        <w:szCs w:val="16"/>
      </w:rPr>
      <w:t xml:space="preserve"> December </w:t>
    </w:r>
    <w:r w:rsidR="0023087C">
      <w:rPr>
        <w:sz w:val="16"/>
        <w:szCs w:val="16"/>
      </w:rPr>
      <w:t>2024</w:t>
    </w:r>
    <w:r w:rsidRPr="00845681">
      <w:rPr>
        <w:sz w:val="16"/>
        <w:szCs w:val="16"/>
      </w:rPr>
      <w:ptab w:relativeTo="margin" w:alignment="center" w:leader="none"/>
    </w:r>
    <w:r w:rsidRPr="00845681">
      <w:rPr>
        <w:sz w:val="16"/>
        <w:szCs w:val="16"/>
      </w:rPr>
      <w:fldChar w:fldCharType="begin"/>
    </w:r>
    <w:r w:rsidRPr="00845681">
      <w:rPr>
        <w:sz w:val="16"/>
        <w:szCs w:val="16"/>
      </w:rPr>
      <w:instrText xml:space="preserve"> PAGE   \* MERGEFORMAT </w:instrText>
    </w:r>
    <w:r w:rsidRPr="00845681">
      <w:rPr>
        <w:sz w:val="16"/>
        <w:szCs w:val="16"/>
      </w:rPr>
      <w:fldChar w:fldCharType="separate"/>
    </w:r>
    <w:r>
      <w:rPr>
        <w:noProof/>
        <w:sz w:val="16"/>
        <w:szCs w:val="16"/>
      </w:rPr>
      <w:t>3</w:t>
    </w:r>
    <w:r w:rsidRPr="00845681">
      <w:rPr>
        <w:noProof/>
        <w:sz w:val="16"/>
        <w:szCs w:val="16"/>
      </w:rPr>
      <w:fldChar w:fldCharType="end"/>
    </w:r>
    <w:r w:rsidRPr="00845681">
      <w:rPr>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4581" w14:textId="77777777" w:rsidR="00A22F65" w:rsidRDefault="00A22F65">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B789" w14:textId="77777777" w:rsidR="007A34E5" w:rsidRDefault="007A34E5">
      <w:pPr>
        <w:spacing w:after="0" w:line="240" w:lineRule="auto"/>
      </w:pPr>
      <w:r>
        <w:separator/>
      </w:r>
    </w:p>
  </w:footnote>
  <w:footnote w:type="continuationSeparator" w:id="0">
    <w:p w14:paraId="62CEE21C" w14:textId="77777777" w:rsidR="007A34E5" w:rsidRDefault="007A34E5">
      <w:pPr>
        <w:spacing w:after="0" w:line="240" w:lineRule="auto"/>
      </w:pPr>
      <w:r>
        <w:continuationSeparator/>
      </w:r>
    </w:p>
  </w:footnote>
  <w:footnote w:type="continuationNotice" w:id="1">
    <w:p w14:paraId="6AA00C9C" w14:textId="77777777" w:rsidR="007A34E5" w:rsidRDefault="007A34E5">
      <w:pPr>
        <w:spacing w:after="0" w:line="240" w:lineRule="auto"/>
      </w:pPr>
    </w:p>
  </w:footnote>
  <w:footnote w:id="2">
    <w:p w14:paraId="5498CD53" w14:textId="066C6D7B" w:rsidR="002F22A2" w:rsidRPr="00C62D72" w:rsidRDefault="002F22A2">
      <w:pPr>
        <w:pStyle w:val="FootnoteText"/>
        <w:rPr>
          <w:lang w:val="en-US"/>
        </w:rPr>
      </w:pPr>
      <w:r>
        <w:rPr>
          <w:rStyle w:val="FootnoteReference"/>
        </w:rPr>
        <w:footnoteRef/>
      </w:r>
      <w:r>
        <w:t xml:space="preserve"> </w:t>
      </w:r>
      <w:r w:rsidRPr="00EF0153">
        <w:t>Additional Tier 1 capital was drawn down from the parent company during 2019</w:t>
      </w:r>
      <w:r>
        <w:t>.</w:t>
      </w:r>
    </w:p>
  </w:footnote>
  <w:footnote w:id="3">
    <w:p w14:paraId="5828345E" w14:textId="5259ABC1" w:rsidR="002F22A2" w:rsidRPr="00C62D72" w:rsidRDefault="002F22A2">
      <w:pPr>
        <w:pStyle w:val="FootnoteText"/>
        <w:rPr>
          <w:lang w:val="en-US"/>
        </w:rPr>
      </w:pPr>
      <w:r>
        <w:rPr>
          <w:rStyle w:val="FootnoteReference"/>
        </w:rPr>
        <w:footnoteRef/>
      </w:r>
      <w:r>
        <w:t xml:space="preserve"> All Tier 2 balances held by the Bank are due to mature within 5 years resulting in the balances having to be amortised to maturity</w:t>
      </w:r>
      <w:r w:rsidRPr="00EF0153">
        <w:t>.</w:t>
      </w:r>
      <w:r>
        <w:t xml:space="preserve"> </w:t>
      </w:r>
      <w:r w:rsidRPr="00EF0153">
        <w:t>The amortisation of Tier 2 funding has been incorporated in the Bank’s capital forecasts.</w:t>
      </w:r>
    </w:p>
  </w:footnote>
  <w:footnote w:id="4">
    <w:p w14:paraId="2FF69631" w14:textId="231F2D4F" w:rsidR="00AD58CA" w:rsidRPr="001030FC" w:rsidRDefault="00AD58CA" w:rsidP="001030FC">
      <w:pPr>
        <w:pStyle w:val="FootnoteText"/>
      </w:pPr>
      <w:r w:rsidRPr="001030FC">
        <w:rPr>
          <w:rStyle w:val="FootnoteReference"/>
        </w:rPr>
        <w:footnoteRef/>
      </w:r>
      <w:r w:rsidRPr="001030FC">
        <w:t xml:space="preserve"> These two amounts have been combined and reported as Commercial property finance in all the following tables.</w:t>
      </w:r>
    </w:p>
  </w:footnote>
  <w:footnote w:id="5">
    <w:p w14:paraId="22B7539B" w14:textId="48CA8236" w:rsidR="00AD58CA" w:rsidRPr="00C62D72" w:rsidRDefault="00AD58CA" w:rsidP="001030FC">
      <w:pPr>
        <w:pStyle w:val="FootnoteText"/>
        <w:rPr>
          <w:lang w:val="en-US"/>
        </w:rPr>
      </w:pPr>
      <w:r w:rsidRPr="001030FC">
        <w:rPr>
          <w:rStyle w:val="FootnoteReference"/>
        </w:rPr>
        <w:footnoteRef/>
      </w:r>
      <w:r w:rsidRPr="001030FC">
        <w:t xml:space="preserve"> Other asset credit risk exposures exclude</w:t>
      </w:r>
      <w:r>
        <w:t>s</w:t>
      </w:r>
      <w:r w:rsidRPr="001030FC">
        <w:t xml:space="preserve"> deferred tax (£</w:t>
      </w:r>
      <w:r>
        <w:t>2.1</w:t>
      </w:r>
      <w:r w:rsidRPr="001030FC">
        <w:t>m) and intangibles (£</w:t>
      </w:r>
      <w:r>
        <w:t>3</w:t>
      </w:r>
      <w:r w:rsidRPr="001030FC">
        <w:t>m), which are deducted from own funds.</w:t>
      </w:r>
    </w:p>
  </w:footnote>
  <w:footnote w:id="6">
    <w:p w14:paraId="2235D8E9" w14:textId="332C2155" w:rsidR="00437F0B" w:rsidRPr="007E0530" w:rsidRDefault="00437F0B">
      <w:pPr>
        <w:pStyle w:val="FootnoteText"/>
        <w:rPr>
          <w:lang w:val="en-US"/>
        </w:rPr>
      </w:pPr>
      <w:r>
        <w:rPr>
          <w:rStyle w:val="FootnoteReference"/>
        </w:rPr>
        <w:footnoteRef/>
      </w:r>
      <w:r>
        <w:t xml:space="preserve"> </w:t>
      </w:r>
      <w:r>
        <w:rPr>
          <w:lang w:val="en-US"/>
        </w:rPr>
        <w:t>This amount reflects an exposure which is part of an unfunded risk participation agreement, where</w:t>
      </w:r>
      <w:r w:rsidR="00184E6E">
        <w:rPr>
          <w:lang w:val="en-US"/>
        </w:rPr>
        <w:t xml:space="preserve"> </w:t>
      </w:r>
      <w:r w:rsidR="00184E6E" w:rsidRPr="00184E6E">
        <w:rPr>
          <w:lang w:val="en-US"/>
        </w:rPr>
        <w:t>the underlying counterparty is the Parent Bank</w:t>
      </w:r>
      <w:r w:rsidR="00184E6E">
        <w:rPr>
          <w:lang w:val="en-US"/>
        </w:rPr>
        <w:t>. As such, the exposure is subject to a 50% risk weighting.</w:t>
      </w:r>
    </w:p>
  </w:footnote>
  <w:footnote w:id="7">
    <w:p w14:paraId="191FA10A" w14:textId="008584AE" w:rsidR="000279CA" w:rsidRPr="00C62D72" w:rsidRDefault="000279CA">
      <w:pPr>
        <w:pStyle w:val="FootnoteText"/>
        <w:rPr>
          <w:lang w:val="en-US"/>
        </w:rPr>
      </w:pPr>
      <w:r>
        <w:rPr>
          <w:rStyle w:val="FootnoteReference"/>
        </w:rPr>
        <w:footnoteRef/>
      </w:r>
      <w:r>
        <w:t xml:space="preserve"> </w:t>
      </w:r>
      <w:r w:rsidRPr="000279CA">
        <w:t>The term “Interest Rate Risk” is a legal terminology refers to Profit Rate Risk, which accurately reflects the operational nature of Al Rayan Bank.</w:t>
      </w:r>
    </w:p>
  </w:footnote>
  <w:footnote w:id="8">
    <w:p w14:paraId="73B6784E" w14:textId="33C4D1C1" w:rsidR="00DE62B3" w:rsidRDefault="00DE62B3">
      <w:pPr>
        <w:pStyle w:val="FootnoteText"/>
      </w:pPr>
      <w:r>
        <w:rPr>
          <w:rStyle w:val="FootnoteReference"/>
        </w:rPr>
        <w:footnoteRef/>
      </w:r>
      <w:r>
        <w:t xml:space="preserve"> MB is an abbreviation for Management Body in line with definitions found within article 3 (1) C</w:t>
      </w:r>
      <w:r w:rsidR="00342DAF">
        <w:t>apital Requirements Directive 2013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8A5A" w14:textId="77777777" w:rsidR="00A22F65" w:rsidRDefault="00A22F65">
    <w:pPr>
      <w:tabs>
        <w:tab w:val="center" w:pos="4513"/>
        <w:tab w:val="right" w:pos="9038"/>
      </w:tabs>
      <w:spacing w:after="0" w:line="259" w:lineRule="auto"/>
      <w:jc w:val="left"/>
    </w:pPr>
    <w:r>
      <w:rPr>
        <w:noProof/>
        <w:lang w:eastAsia="en-GB"/>
      </w:rPr>
      <w:drawing>
        <wp:anchor distT="0" distB="0" distL="114300" distR="114300" simplePos="0" relativeHeight="251658240" behindDoc="0" locked="0" layoutInCell="1" allowOverlap="0" wp14:anchorId="6F86F317" wp14:editId="2728A2B5">
          <wp:simplePos x="0" y="0"/>
          <wp:positionH relativeFrom="page">
            <wp:posOffset>915162</wp:posOffset>
          </wp:positionH>
          <wp:positionV relativeFrom="page">
            <wp:posOffset>449070</wp:posOffset>
          </wp:positionV>
          <wp:extent cx="930527" cy="567748"/>
          <wp:effectExtent l="0" t="0" r="0" b="0"/>
          <wp:wrapSquare wrapText="bothSides"/>
          <wp:docPr id="849706960" name="Picture 849706960"/>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930527" cy="567748"/>
                  </a:xfrm>
                  <a:prstGeom prst="rect">
                    <a:avLst/>
                  </a:prstGeom>
                </pic:spPr>
              </pic:pic>
            </a:graphicData>
          </a:graphic>
        </wp:anchor>
      </w:drawing>
    </w:r>
    <w:r>
      <w:t xml:space="preserve"> </w:t>
    </w:r>
    <w:r>
      <w:tab/>
      <w:t xml:space="preserve"> </w:t>
    </w:r>
    <w:r>
      <w:tab/>
    </w:r>
    <w:r>
      <w:rPr>
        <w:sz w:val="18"/>
      </w:rPr>
      <w:t>Pillar 3 Disclosures 31 December 2014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F579" w14:textId="77777777" w:rsidR="00A22F65" w:rsidRDefault="00A22F65">
    <w:pPr>
      <w:tabs>
        <w:tab w:val="center" w:pos="4513"/>
        <w:tab w:val="right" w:pos="9038"/>
      </w:tabs>
      <w:spacing w:after="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090F" w14:textId="77777777" w:rsidR="00A22F65" w:rsidRDefault="00A22F65">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AB5"/>
    <w:multiLevelType w:val="hybridMultilevel"/>
    <w:tmpl w:val="8EA0F4BC"/>
    <w:lvl w:ilvl="0" w:tplc="9B6E6D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24CC"/>
    <w:multiLevelType w:val="hybridMultilevel"/>
    <w:tmpl w:val="B96C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42CA9"/>
    <w:multiLevelType w:val="hybridMultilevel"/>
    <w:tmpl w:val="E228CA26"/>
    <w:lvl w:ilvl="0" w:tplc="24182F3A">
      <w:start w:val="1"/>
      <w:numFmt w:val="bullet"/>
      <w:pStyle w:val="ListParagraph"/>
      <w:lvlText w:val=""/>
      <w:lvlJc w:val="left"/>
      <w:pPr>
        <w:ind w:left="1440" w:hanging="360"/>
      </w:pPr>
      <w:rPr>
        <w:rFonts w:ascii="Symbol" w:hAnsi="Symbol" w:hint="default"/>
      </w:rPr>
    </w:lvl>
    <w:lvl w:ilvl="1" w:tplc="128CEE24">
      <w:numFmt w:val="bullet"/>
      <w:lvlText w:val="•"/>
      <w:lvlJc w:val="left"/>
      <w:pPr>
        <w:ind w:left="2160" w:hanging="360"/>
      </w:pPr>
      <w:rPr>
        <w:rFonts w:ascii="Arial" w:eastAsia="Arial"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E159EF"/>
    <w:multiLevelType w:val="hybridMultilevel"/>
    <w:tmpl w:val="F50EB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B226B1"/>
    <w:multiLevelType w:val="hybridMultilevel"/>
    <w:tmpl w:val="DFDED6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AF2429"/>
    <w:multiLevelType w:val="hybridMultilevel"/>
    <w:tmpl w:val="D99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67516"/>
    <w:multiLevelType w:val="hybridMultilevel"/>
    <w:tmpl w:val="E0280718"/>
    <w:lvl w:ilvl="0" w:tplc="5E60E1BE">
      <w:start w:val="1"/>
      <w:numFmt w:val="decimal"/>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7" w15:restartNumberingAfterBreak="0">
    <w:nsid w:val="43B23E11"/>
    <w:multiLevelType w:val="multilevel"/>
    <w:tmpl w:val="9892917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F8328CC"/>
    <w:multiLevelType w:val="hybridMultilevel"/>
    <w:tmpl w:val="3D788272"/>
    <w:lvl w:ilvl="0" w:tplc="EB6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F5325"/>
    <w:multiLevelType w:val="hybridMultilevel"/>
    <w:tmpl w:val="D2E6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B6696"/>
    <w:multiLevelType w:val="hybridMultilevel"/>
    <w:tmpl w:val="91921C9E"/>
    <w:lvl w:ilvl="0" w:tplc="F95A88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6065F2"/>
    <w:multiLevelType w:val="hybridMultilevel"/>
    <w:tmpl w:val="970E8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491F23"/>
    <w:multiLevelType w:val="hybridMultilevel"/>
    <w:tmpl w:val="FD6A536E"/>
    <w:lvl w:ilvl="0" w:tplc="FD203D70">
      <w:start w:val="1"/>
      <w:numFmt w:val="decimal"/>
      <w:lvlText w:val="%1."/>
      <w:lvlJc w:val="left"/>
      <w:pPr>
        <w:ind w:left="715" w:hanging="360"/>
      </w:p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3" w15:restartNumberingAfterBreak="0">
    <w:nsid w:val="75713A4A"/>
    <w:multiLevelType w:val="hybridMultilevel"/>
    <w:tmpl w:val="CE5662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D2C54CB"/>
    <w:multiLevelType w:val="hybridMultilevel"/>
    <w:tmpl w:val="BC0A6844"/>
    <w:lvl w:ilvl="0" w:tplc="0809000F">
      <w:start w:val="1"/>
      <w:numFmt w:val="decimal"/>
      <w:lvlText w:val="%1."/>
      <w:lvlJc w:val="left"/>
      <w:pPr>
        <w:ind w:left="715" w:hanging="360"/>
      </w:p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5" w15:restartNumberingAfterBreak="0">
    <w:nsid w:val="7F680D77"/>
    <w:multiLevelType w:val="hybridMultilevel"/>
    <w:tmpl w:val="4AD8D240"/>
    <w:lvl w:ilvl="0" w:tplc="08090001">
      <w:start w:val="1"/>
      <w:numFmt w:val="bullet"/>
      <w:lvlText w:val=""/>
      <w:lvlJc w:val="left"/>
      <w:pPr>
        <w:ind w:left="715" w:hanging="360"/>
      </w:pPr>
      <w:rPr>
        <w:rFonts w:ascii="Symbol" w:hAnsi="Symbol"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num w:numId="1" w16cid:durableId="209925346">
    <w:abstractNumId w:val="7"/>
  </w:num>
  <w:num w:numId="2" w16cid:durableId="2080203375">
    <w:abstractNumId w:val="5"/>
  </w:num>
  <w:num w:numId="3" w16cid:durableId="496532061">
    <w:abstractNumId w:val="1"/>
  </w:num>
  <w:num w:numId="4" w16cid:durableId="2000694714">
    <w:abstractNumId w:val="8"/>
  </w:num>
  <w:num w:numId="5" w16cid:durableId="674497838">
    <w:abstractNumId w:val="0"/>
  </w:num>
  <w:num w:numId="6" w16cid:durableId="1427649777">
    <w:abstractNumId w:val="6"/>
  </w:num>
  <w:num w:numId="7" w16cid:durableId="299963709">
    <w:abstractNumId w:val="9"/>
  </w:num>
  <w:num w:numId="8" w16cid:durableId="1933125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255315">
    <w:abstractNumId w:val="13"/>
  </w:num>
  <w:num w:numId="10" w16cid:durableId="1143230161">
    <w:abstractNumId w:val="10"/>
  </w:num>
  <w:num w:numId="11" w16cid:durableId="1852722708">
    <w:abstractNumId w:val="4"/>
  </w:num>
  <w:num w:numId="12" w16cid:durableId="1023441289">
    <w:abstractNumId w:val="6"/>
    <w:lvlOverride w:ilvl="0">
      <w:startOverride w:val="1"/>
    </w:lvlOverride>
  </w:num>
  <w:num w:numId="13" w16cid:durableId="851450526">
    <w:abstractNumId w:val="12"/>
  </w:num>
  <w:num w:numId="14" w16cid:durableId="894464166">
    <w:abstractNumId w:val="14"/>
  </w:num>
  <w:num w:numId="15" w16cid:durableId="908685096">
    <w:abstractNumId w:val="15"/>
  </w:num>
  <w:num w:numId="16" w16cid:durableId="592589630">
    <w:abstractNumId w:val="2"/>
  </w:num>
  <w:num w:numId="17" w16cid:durableId="74789174">
    <w:abstractNumId w:val="3"/>
  </w:num>
  <w:num w:numId="18" w16cid:durableId="112311259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6F"/>
    <w:rsid w:val="00000798"/>
    <w:rsid w:val="000007F0"/>
    <w:rsid w:val="00001B67"/>
    <w:rsid w:val="0000514A"/>
    <w:rsid w:val="00006E75"/>
    <w:rsid w:val="00006EFA"/>
    <w:rsid w:val="00010435"/>
    <w:rsid w:val="000109AC"/>
    <w:rsid w:val="00012633"/>
    <w:rsid w:val="00013329"/>
    <w:rsid w:val="0001355D"/>
    <w:rsid w:val="0001368F"/>
    <w:rsid w:val="00014345"/>
    <w:rsid w:val="00017A1F"/>
    <w:rsid w:val="00017EC3"/>
    <w:rsid w:val="00020579"/>
    <w:rsid w:val="00020C8D"/>
    <w:rsid w:val="000213A4"/>
    <w:rsid w:val="000220EB"/>
    <w:rsid w:val="000223ED"/>
    <w:rsid w:val="00022521"/>
    <w:rsid w:val="000226EB"/>
    <w:rsid w:val="00023242"/>
    <w:rsid w:val="000234A5"/>
    <w:rsid w:val="00023B3A"/>
    <w:rsid w:val="00024201"/>
    <w:rsid w:val="0002586C"/>
    <w:rsid w:val="00026DD2"/>
    <w:rsid w:val="000279CA"/>
    <w:rsid w:val="00027BD0"/>
    <w:rsid w:val="00030450"/>
    <w:rsid w:val="00032145"/>
    <w:rsid w:val="00032DD7"/>
    <w:rsid w:val="00033542"/>
    <w:rsid w:val="000337FB"/>
    <w:rsid w:val="00035899"/>
    <w:rsid w:val="00037487"/>
    <w:rsid w:val="0004032C"/>
    <w:rsid w:val="00041095"/>
    <w:rsid w:val="00041BD0"/>
    <w:rsid w:val="00043D7B"/>
    <w:rsid w:val="00045116"/>
    <w:rsid w:val="00046C86"/>
    <w:rsid w:val="0004771F"/>
    <w:rsid w:val="00047E79"/>
    <w:rsid w:val="0005094C"/>
    <w:rsid w:val="00051100"/>
    <w:rsid w:val="00055721"/>
    <w:rsid w:val="00055B3C"/>
    <w:rsid w:val="00055D28"/>
    <w:rsid w:val="00055F18"/>
    <w:rsid w:val="000562AD"/>
    <w:rsid w:val="000577B8"/>
    <w:rsid w:val="00057977"/>
    <w:rsid w:val="00057E93"/>
    <w:rsid w:val="00061F4C"/>
    <w:rsid w:val="0006251C"/>
    <w:rsid w:val="00062EF1"/>
    <w:rsid w:val="00063C49"/>
    <w:rsid w:val="00064BD3"/>
    <w:rsid w:val="0006573E"/>
    <w:rsid w:val="000665CA"/>
    <w:rsid w:val="0006711F"/>
    <w:rsid w:val="000671FA"/>
    <w:rsid w:val="00067C5B"/>
    <w:rsid w:val="00067E63"/>
    <w:rsid w:val="00070737"/>
    <w:rsid w:val="00071344"/>
    <w:rsid w:val="000730E9"/>
    <w:rsid w:val="000730F6"/>
    <w:rsid w:val="00073DB5"/>
    <w:rsid w:val="00074776"/>
    <w:rsid w:val="00075713"/>
    <w:rsid w:val="00077450"/>
    <w:rsid w:val="00077681"/>
    <w:rsid w:val="00077DEE"/>
    <w:rsid w:val="0008187E"/>
    <w:rsid w:val="00081FCA"/>
    <w:rsid w:val="00084AD1"/>
    <w:rsid w:val="00084F5D"/>
    <w:rsid w:val="00087974"/>
    <w:rsid w:val="00090124"/>
    <w:rsid w:val="00092989"/>
    <w:rsid w:val="000941BF"/>
    <w:rsid w:val="00096252"/>
    <w:rsid w:val="000979BC"/>
    <w:rsid w:val="000A1338"/>
    <w:rsid w:val="000A2015"/>
    <w:rsid w:val="000A292B"/>
    <w:rsid w:val="000A2AEF"/>
    <w:rsid w:val="000A2B36"/>
    <w:rsid w:val="000A748C"/>
    <w:rsid w:val="000B02E4"/>
    <w:rsid w:val="000B0D70"/>
    <w:rsid w:val="000B0DDD"/>
    <w:rsid w:val="000B2BEA"/>
    <w:rsid w:val="000B42C1"/>
    <w:rsid w:val="000B43BC"/>
    <w:rsid w:val="000B4706"/>
    <w:rsid w:val="000B4862"/>
    <w:rsid w:val="000C1BB8"/>
    <w:rsid w:val="000C2833"/>
    <w:rsid w:val="000C32D4"/>
    <w:rsid w:val="000C417B"/>
    <w:rsid w:val="000C4D49"/>
    <w:rsid w:val="000C4E69"/>
    <w:rsid w:val="000C69E3"/>
    <w:rsid w:val="000D05D2"/>
    <w:rsid w:val="000D0BD0"/>
    <w:rsid w:val="000D1DC2"/>
    <w:rsid w:val="000D2BE9"/>
    <w:rsid w:val="000D54B9"/>
    <w:rsid w:val="000E1CF7"/>
    <w:rsid w:val="000E282C"/>
    <w:rsid w:val="000E28F3"/>
    <w:rsid w:val="000E2AC0"/>
    <w:rsid w:val="000E2B73"/>
    <w:rsid w:val="000E3806"/>
    <w:rsid w:val="000E440B"/>
    <w:rsid w:val="000E44F4"/>
    <w:rsid w:val="000E5566"/>
    <w:rsid w:val="000E5CD9"/>
    <w:rsid w:val="000E5F7C"/>
    <w:rsid w:val="000E62DA"/>
    <w:rsid w:val="000F05AB"/>
    <w:rsid w:val="000F13B3"/>
    <w:rsid w:val="000F1902"/>
    <w:rsid w:val="000F1FFF"/>
    <w:rsid w:val="000F29F1"/>
    <w:rsid w:val="000F3852"/>
    <w:rsid w:val="000F4857"/>
    <w:rsid w:val="000F517D"/>
    <w:rsid w:val="000F564B"/>
    <w:rsid w:val="000F622D"/>
    <w:rsid w:val="001000CF"/>
    <w:rsid w:val="0010114A"/>
    <w:rsid w:val="00101A1A"/>
    <w:rsid w:val="0010211E"/>
    <w:rsid w:val="001030FC"/>
    <w:rsid w:val="00103D1E"/>
    <w:rsid w:val="001050F3"/>
    <w:rsid w:val="001067CB"/>
    <w:rsid w:val="00107EF9"/>
    <w:rsid w:val="00111208"/>
    <w:rsid w:val="00111FD8"/>
    <w:rsid w:val="00112ECE"/>
    <w:rsid w:val="001136FF"/>
    <w:rsid w:val="00113D94"/>
    <w:rsid w:val="00113E35"/>
    <w:rsid w:val="00114DA8"/>
    <w:rsid w:val="001159E2"/>
    <w:rsid w:val="00116141"/>
    <w:rsid w:val="001167F6"/>
    <w:rsid w:val="0012019B"/>
    <w:rsid w:val="001213E2"/>
    <w:rsid w:val="0012477F"/>
    <w:rsid w:val="00125478"/>
    <w:rsid w:val="00126308"/>
    <w:rsid w:val="00126EFA"/>
    <w:rsid w:val="0012767B"/>
    <w:rsid w:val="00127DE5"/>
    <w:rsid w:val="00131020"/>
    <w:rsid w:val="001315DF"/>
    <w:rsid w:val="00133268"/>
    <w:rsid w:val="00133720"/>
    <w:rsid w:val="00133B97"/>
    <w:rsid w:val="0013478B"/>
    <w:rsid w:val="00134992"/>
    <w:rsid w:val="001366F6"/>
    <w:rsid w:val="00140021"/>
    <w:rsid w:val="00140A7E"/>
    <w:rsid w:val="00140EC6"/>
    <w:rsid w:val="00140F32"/>
    <w:rsid w:val="00140F49"/>
    <w:rsid w:val="00141021"/>
    <w:rsid w:val="00141C0D"/>
    <w:rsid w:val="00141E46"/>
    <w:rsid w:val="0014237D"/>
    <w:rsid w:val="001425DC"/>
    <w:rsid w:val="00142784"/>
    <w:rsid w:val="00143C9B"/>
    <w:rsid w:val="00144195"/>
    <w:rsid w:val="00145749"/>
    <w:rsid w:val="0014637F"/>
    <w:rsid w:val="00146937"/>
    <w:rsid w:val="00147C02"/>
    <w:rsid w:val="00150096"/>
    <w:rsid w:val="001503DF"/>
    <w:rsid w:val="00150476"/>
    <w:rsid w:val="00151146"/>
    <w:rsid w:val="00151244"/>
    <w:rsid w:val="001519C2"/>
    <w:rsid w:val="0015200E"/>
    <w:rsid w:val="00152166"/>
    <w:rsid w:val="00152DE8"/>
    <w:rsid w:val="00153AB3"/>
    <w:rsid w:val="00154437"/>
    <w:rsid w:val="00154662"/>
    <w:rsid w:val="00154675"/>
    <w:rsid w:val="00154F8B"/>
    <w:rsid w:val="00156301"/>
    <w:rsid w:val="001565D1"/>
    <w:rsid w:val="001568DD"/>
    <w:rsid w:val="001571F7"/>
    <w:rsid w:val="0016058F"/>
    <w:rsid w:val="00160F70"/>
    <w:rsid w:val="00163A74"/>
    <w:rsid w:val="00163FBC"/>
    <w:rsid w:val="0016438A"/>
    <w:rsid w:val="00164415"/>
    <w:rsid w:val="0016602C"/>
    <w:rsid w:val="0016650B"/>
    <w:rsid w:val="0016685E"/>
    <w:rsid w:val="001669B7"/>
    <w:rsid w:val="00171BE9"/>
    <w:rsid w:val="001720C8"/>
    <w:rsid w:val="00173B0E"/>
    <w:rsid w:val="00173B74"/>
    <w:rsid w:val="00175DEC"/>
    <w:rsid w:val="00176248"/>
    <w:rsid w:val="00180407"/>
    <w:rsid w:val="00181181"/>
    <w:rsid w:val="00181F8B"/>
    <w:rsid w:val="00183206"/>
    <w:rsid w:val="00183467"/>
    <w:rsid w:val="00183513"/>
    <w:rsid w:val="00183667"/>
    <w:rsid w:val="001845C8"/>
    <w:rsid w:val="00184E6E"/>
    <w:rsid w:val="00185841"/>
    <w:rsid w:val="001860E9"/>
    <w:rsid w:val="00186D53"/>
    <w:rsid w:val="00186E2D"/>
    <w:rsid w:val="00190644"/>
    <w:rsid w:val="00190E47"/>
    <w:rsid w:val="00192402"/>
    <w:rsid w:val="0019414A"/>
    <w:rsid w:val="001942EF"/>
    <w:rsid w:val="00194EEF"/>
    <w:rsid w:val="00196B6A"/>
    <w:rsid w:val="001A00AA"/>
    <w:rsid w:val="001A0F1D"/>
    <w:rsid w:val="001A4F05"/>
    <w:rsid w:val="001A6750"/>
    <w:rsid w:val="001A6FE0"/>
    <w:rsid w:val="001A7342"/>
    <w:rsid w:val="001A7A16"/>
    <w:rsid w:val="001A7AFA"/>
    <w:rsid w:val="001B0B1C"/>
    <w:rsid w:val="001B1B64"/>
    <w:rsid w:val="001B2CCC"/>
    <w:rsid w:val="001B3381"/>
    <w:rsid w:val="001B3C5D"/>
    <w:rsid w:val="001B4303"/>
    <w:rsid w:val="001B56D2"/>
    <w:rsid w:val="001B71E9"/>
    <w:rsid w:val="001C04BF"/>
    <w:rsid w:val="001C15BB"/>
    <w:rsid w:val="001C15E0"/>
    <w:rsid w:val="001C1BDF"/>
    <w:rsid w:val="001C2850"/>
    <w:rsid w:val="001C37F5"/>
    <w:rsid w:val="001C3BE9"/>
    <w:rsid w:val="001C3CCA"/>
    <w:rsid w:val="001C45DA"/>
    <w:rsid w:val="001C47D1"/>
    <w:rsid w:val="001C4CF4"/>
    <w:rsid w:val="001C4D80"/>
    <w:rsid w:val="001C66A6"/>
    <w:rsid w:val="001D0960"/>
    <w:rsid w:val="001D21BC"/>
    <w:rsid w:val="001D2BD5"/>
    <w:rsid w:val="001D4082"/>
    <w:rsid w:val="001D5862"/>
    <w:rsid w:val="001D6143"/>
    <w:rsid w:val="001E037A"/>
    <w:rsid w:val="001E0E16"/>
    <w:rsid w:val="001E1442"/>
    <w:rsid w:val="001E1EB2"/>
    <w:rsid w:val="001E2C49"/>
    <w:rsid w:val="001E4658"/>
    <w:rsid w:val="001E4AAB"/>
    <w:rsid w:val="001E53DA"/>
    <w:rsid w:val="001E627B"/>
    <w:rsid w:val="001E64A6"/>
    <w:rsid w:val="001E7082"/>
    <w:rsid w:val="001E78B7"/>
    <w:rsid w:val="001F08AC"/>
    <w:rsid w:val="001F2033"/>
    <w:rsid w:val="001F2507"/>
    <w:rsid w:val="001F3B48"/>
    <w:rsid w:val="001F3F8A"/>
    <w:rsid w:val="001F4984"/>
    <w:rsid w:val="001F4BF6"/>
    <w:rsid w:val="001F5337"/>
    <w:rsid w:val="001F6293"/>
    <w:rsid w:val="001F663C"/>
    <w:rsid w:val="00203156"/>
    <w:rsid w:val="0020466E"/>
    <w:rsid w:val="00204A8B"/>
    <w:rsid w:val="00205013"/>
    <w:rsid w:val="00206790"/>
    <w:rsid w:val="00206E57"/>
    <w:rsid w:val="002116FD"/>
    <w:rsid w:val="00213978"/>
    <w:rsid w:val="002149B2"/>
    <w:rsid w:val="00214D23"/>
    <w:rsid w:val="00215A25"/>
    <w:rsid w:val="00215AD6"/>
    <w:rsid w:val="00215FA3"/>
    <w:rsid w:val="002202B2"/>
    <w:rsid w:val="00223142"/>
    <w:rsid w:val="002270BE"/>
    <w:rsid w:val="00227202"/>
    <w:rsid w:val="002272D4"/>
    <w:rsid w:val="00230265"/>
    <w:rsid w:val="0023087C"/>
    <w:rsid w:val="0023179E"/>
    <w:rsid w:val="00232C07"/>
    <w:rsid w:val="002344F1"/>
    <w:rsid w:val="0023530E"/>
    <w:rsid w:val="00236158"/>
    <w:rsid w:val="00237E29"/>
    <w:rsid w:val="00241002"/>
    <w:rsid w:val="002414D1"/>
    <w:rsid w:val="002420AB"/>
    <w:rsid w:val="002428B5"/>
    <w:rsid w:val="002452B5"/>
    <w:rsid w:val="002504BA"/>
    <w:rsid w:val="002507FD"/>
    <w:rsid w:val="00250955"/>
    <w:rsid w:val="00251479"/>
    <w:rsid w:val="002515E4"/>
    <w:rsid w:val="0025215B"/>
    <w:rsid w:val="002535CF"/>
    <w:rsid w:val="002536F9"/>
    <w:rsid w:val="0025388E"/>
    <w:rsid w:val="00254E38"/>
    <w:rsid w:val="00255AF8"/>
    <w:rsid w:val="00255EE0"/>
    <w:rsid w:val="00256707"/>
    <w:rsid w:val="0025698B"/>
    <w:rsid w:val="002571D1"/>
    <w:rsid w:val="00257430"/>
    <w:rsid w:val="002579A3"/>
    <w:rsid w:val="00260914"/>
    <w:rsid w:val="002610EE"/>
    <w:rsid w:val="00262D2E"/>
    <w:rsid w:val="002635A5"/>
    <w:rsid w:val="00263FBA"/>
    <w:rsid w:val="0026497E"/>
    <w:rsid w:val="00264F2C"/>
    <w:rsid w:val="002650C3"/>
    <w:rsid w:val="00265760"/>
    <w:rsid w:val="00265AE5"/>
    <w:rsid w:val="00265C0A"/>
    <w:rsid w:val="00266A25"/>
    <w:rsid w:val="00267254"/>
    <w:rsid w:val="00270E49"/>
    <w:rsid w:val="00271AC6"/>
    <w:rsid w:val="00272D81"/>
    <w:rsid w:val="002751D4"/>
    <w:rsid w:val="0027640F"/>
    <w:rsid w:val="0027744C"/>
    <w:rsid w:val="00281754"/>
    <w:rsid w:val="002847B8"/>
    <w:rsid w:val="00284CBF"/>
    <w:rsid w:val="00285B0B"/>
    <w:rsid w:val="0028606D"/>
    <w:rsid w:val="0028692B"/>
    <w:rsid w:val="002869B3"/>
    <w:rsid w:val="002878FB"/>
    <w:rsid w:val="00287E78"/>
    <w:rsid w:val="00292917"/>
    <w:rsid w:val="00292BFD"/>
    <w:rsid w:val="00293944"/>
    <w:rsid w:val="00294248"/>
    <w:rsid w:val="0029426D"/>
    <w:rsid w:val="00294720"/>
    <w:rsid w:val="00295C67"/>
    <w:rsid w:val="0029672B"/>
    <w:rsid w:val="00296BCD"/>
    <w:rsid w:val="00297661"/>
    <w:rsid w:val="002A0C4C"/>
    <w:rsid w:val="002A1337"/>
    <w:rsid w:val="002A1585"/>
    <w:rsid w:val="002A1CA0"/>
    <w:rsid w:val="002A297B"/>
    <w:rsid w:val="002A6E14"/>
    <w:rsid w:val="002A6E8C"/>
    <w:rsid w:val="002A6FB0"/>
    <w:rsid w:val="002A76E7"/>
    <w:rsid w:val="002B1A92"/>
    <w:rsid w:val="002B1CA1"/>
    <w:rsid w:val="002B20C2"/>
    <w:rsid w:val="002B2BA1"/>
    <w:rsid w:val="002B4081"/>
    <w:rsid w:val="002B40D9"/>
    <w:rsid w:val="002B4E52"/>
    <w:rsid w:val="002B6739"/>
    <w:rsid w:val="002B70D3"/>
    <w:rsid w:val="002B7DFC"/>
    <w:rsid w:val="002C0CDD"/>
    <w:rsid w:val="002C17E9"/>
    <w:rsid w:val="002C1EA7"/>
    <w:rsid w:val="002C1F6C"/>
    <w:rsid w:val="002C2B50"/>
    <w:rsid w:val="002C37B6"/>
    <w:rsid w:val="002C39CC"/>
    <w:rsid w:val="002C3AF6"/>
    <w:rsid w:val="002C5B29"/>
    <w:rsid w:val="002C6541"/>
    <w:rsid w:val="002C680D"/>
    <w:rsid w:val="002C6E71"/>
    <w:rsid w:val="002C7B93"/>
    <w:rsid w:val="002D065B"/>
    <w:rsid w:val="002D2B92"/>
    <w:rsid w:val="002D3E51"/>
    <w:rsid w:val="002D551A"/>
    <w:rsid w:val="002D5CA7"/>
    <w:rsid w:val="002D6C67"/>
    <w:rsid w:val="002E27BD"/>
    <w:rsid w:val="002E3272"/>
    <w:rsid w:val="002E4197"/>
    <w:rsid w:val="002E4F0B"/>
    <w:rsid w:val="002E6137"/>
    <w:rsid w:val="002E6E5A"/>
    <w:rsid w:val="002E738F"/>
    <w:rsid w:val="002E783C"/>
    <w:rsid w:val="002F087C"/>
    <w:rsid w:val="002F22A2"/>
    <w:rsid w:val="002F30EC"/>
    <w:rsid w:val="002F37A5"/>
    <w:rsid w:val="002F3E5B"/>
    <w:rsid w:val="002F47C7"/>
    <w:rsid w:val="002F6602"/>
    <w:rsid w:val="002F6927"/>
    <w:rsid w:val="0030040C"/>
    <w:rsid w:val="00300999"/>
    <w:rsid w:val="00303253"/>
    <w:rsid w:val="00303DDA"/>
    <w:rsid w:val="00304E1D"/>
    <w:rsid w:val="00304FAE"/>
    <w:rsid w:val="0030534D"/>
    <w:rsid w:val="0030779B"/>
    <w:rsid w:val="003078F8"/>
    <w:rsid w:val="00307D1A"/>
    <w:rsid w:val="003114A8"/>
    <w:rsid w:val="00312FDF"/>
    <w:rsid w:val="0031416E"/>
    <w:rsid w:val="00315954"/>
    <w:rsid w:val="00315AA6"/>
    <w:rsid w:val="00320AE7"/>
    <w:rsid w:val="003228A6"/>
    <w:rsid w:val="0032752B"/>
    <w:rsid w:val="00327B5F"/>
    <w:rsid w:val="00330147"/>
    <w:rsid w:val="00331ABA"/>
    <w:rsid w:val="00332365"/>
    <w:rsid w:val="00333A90"/>
    <w:rsid w:val="00334E59"/>
    <w:rsid w:val="00335D76"/>
    <w:rsid w:val="00336BBA"/>
    <w:rsid w:val="003376F4"/>
    <w:rsid w:val="00340AD9"/>
    <w:rsid w:val="00342078"/>
    <w:rsid w:val="00342426"/>
    <w:rsid w:val="00342C7D"/>
    <w:rsid w:val="00342DAF"/>
    <w:rsid w:val="003433AA"/>
    <w:rsid w:val="0034347B"/>
    <w:rsid w:val="0034490B"/>
    <w:rsid w:val="00345E33"/>
    <w:rsid w:val="00346082"/>
    <w:rsid w:val="00346F6B"/>
    <w:rsid w:val="0034707E"/>
    <w:rsid w:val="0034728C"/>
    <w:rsid w:val="00350AC0"/>
    <w:rsid w:val="00351D64"/>
    <w:rsid w:val="0035225E"/>
    <w:rsid w:val="00354A66"/>
    <w:rsid w:val="0035513F"/>
    <w:rsid w:val="00360627"/>
    <w:rsid w:val="00360DB4"/>
    <w:rsid w:val="00360F4C"/>
    <w:rsid w:val="003633D8"/>
    <w:rsid w:val="003639A9"/>
    <w:rsid w:val="00363BDC"/>
    <w:rsid w:val="00364686"/>
    <w:rsid w:val="003658C5"/>
    <w:rsid w:val="00366521"/>
    <w:rsid w:val="0036674C"/>
    <w:rsid w:val="003670D9"/>
    <w:rsid w:val="00367141"/>
    <w:rsid w:val="003679A7"/>
    <w:rsid w:val="00367C7E"/>
    <w:rsid w:val="0037089E"/>
    <w:rsid w:val="00372BEE"/>
    <w:rsid w:val="003742DA"/>
    <w:rsid w:val="00375BE6"/>
    <w:rsid w:val="00376841"/>
    <w:rsid w:val="00376DEF"/>
    <w:rsid w:val="0038103E"/>
    <w:rsid w:val="003814DF"/>
    <w:rsid w:val="00384217"/>
    <w:rsid w:val="003849D2"/>
    <w:rsid w:val="003858B0"/>
    <w:rsid w:val="0038693A"/>
    <w:rsid w:val="00387833"/>
    <w:rsid w:val="00390B14"/>
    <w:rsid w:val="00390C00"/>
    <w:rsid w:val="00390FD2"/>
    <w:rsid w:val="00394D76"/>
    <w:rsid w:val="00394E68"/>
    <w:rsid w:val="003953AF"/>
    <w:rsid w:val="00395C5C"/>
    <w:rsid w:val="00396920"/>
    <w:rsid w:val="003A0185"/>
    <w:rsid w:val="003A055C"/>
    <w:rsid w:val="003A1497"/>
    <w:rsid w:val="003A15FF"/>
    <w:rsid w:val="003A2EB5"/>
    <w:rsid w:val="003A502F"/>
    <w:rsid w:val="003A50BA"/>
    <w:rsid w:val="003A5867"/>
    <w:rsid w:val="003A5E54"/>
    <w:rsid w:val="003A7399"/>
    <w:rsid w:val="003B04FA"/>
    <w:rsid w:val="003B2B54"/>
    <w:rsid w:val="003B468E"/>
    <w:rsid w:val="003B5563"/>
    <w:rsid w:val="003B582A"/>
    <w:rsid w:val="003B7D50"/>
    <w:rsid w:val="003C4AB5"/>
    <w:rsid w:val="003C4B2D"/>
    <w:rsid w:val="003C54ED"/>
    <w:rsid w:val="003C78BC"/>
    <w:rsid w:val="003D0942"/>
    <w:rsid w:val="003D0DBA"/>
    <w:rsid w:val="003D0F82"/>
    <w:rsid w:val="003D107F"/>
    <w:rsid w:val="003D189C"/>
    <w:rsid w:val="003D286E"/>
    <w:rsid w:val="003D2FE8"/>
    <w:rsid w:val="003D340F"/>
    <w:rsid w:val="003D3927"/>
    <w:rsid w:val="003D3E46"/>
    <w:rsid w:val="003D4B13"/>
    <w:rsid w:val="003D604A"/>
    <w:rsid w:val="003E115E"/>
    <w:rsid w:val="003E235E"/>
    <w:rsid w:val="003E3B41"/>
    <w:rsid w:val="003E57ED"/>
    <w:rsid w:val="003E5A26"/>
    <w:rsid w:val="003F12AA"/>
    <w:rsid w:val="003F2A05"/>
    <w:rsid w:val="003F2AE3"/>
    <w:rsid w:val="003F3393"/>
    <w:rsid w:val="00401689"/>
    <w:rsid w:val="00401A7A"/>
    <w:rsid w:val="00401AC6"/>
    <w:rsid w:val="00402096"/>
    <w:rsid w:val="0040257A"/>
    <w:rsid w:val="004048E1"/>
    <w:rsid w:val="00405F20"/>
    <w:rsid w:val="004063BC"/>
    <w:rsid w:val="00410BA8"/>
    <w:rsid w:val="00410C40"/>
    <w:rsid w:val="0041105D"/>
    <w:rsid w:val="0041186D"/>
    <w:rsid w:val="00412F38"/>
    <w:rsid w:val="004137B4"/>
    <w:rsid w:val="00414897"/>
    <w:rsid w:val="0041583D"/>
    <w:rsid w:val="00415A28"/>
    <w:rsid w:val="00417ADD"/>
    <w:rsid w:val="00421C05"/>
    <w:rsid w:val="0042211F"/>
    <w:rsid w:val="00422590"/>
    <w:rsid w:val="00424557"/>
    <w:rsid w:val="0042490A"/>
    <w:rsid w:val="00431B89"/>
    <w:rsid w:val="00431F78"/>
    <w:rsid w:val="004327D6"/>
    <w:rsid w:val="00432DEE"/>
    <w:rsid w:val="0043407D"/>
    <w:rsid w:val="00437DA8"/>
    <w:rsid w:val="00437F0B"/>
    <w:rsid w:val="00441314"/>
    <w:rsid w:val="00441BA7"/>
    <w:rsid w:val="00441F41"/>
    <w:rsid w:val="0044347D"/>
    <w:rsid w:val="004438D4"/>
    <w:rsid w:val="004445B7"/>
    <w:rsid w:val="00444714"/>
    <w:rsid w:val="00444EC1"/>
    <w:rsid w:val="00445017"/>
    <w:rsid w:val="00445489"/>
    <w:rsid w:val="004461FF"/>
    <w:rsid w:val="004463B2"/>
    <w:rsid w:val="0044667E"/>
    <w:rsid w:val="0044691E"/>
    <w:rsid w:val="00446A6F"/>
    <w:rsid w:val="00447366"/>
    <w:rsid w:val="00450C65"/>
    <w:rsid w:val="00452B5E"/>
    <w:rsid w:val="00454F78"/>
    <w:rsid w:val="00456630"/>
    <w:rsid w:val="00457305"/>
    <w:rsid w:val="00461039"/>
    <w:rsid w:val="00461979"/>
    <w:rsid w:val="00464A4C"/>
    <w:rsid w:val="00465CA8"/>
    <w:rsid w:val="004660F4"/>
    <w:rsid w:val="0046747D"/>
    <w:rsid w:val="00467A25"/>
    <w:rsid w:val="00472005"/>
    <w:rsid w:val="0047215F"/>
    <w:rsid w:val="004724BD"/>
    <w:rsid w:val="004726FB"/>
    <w:rsid w:val="00472B36"/>
    <w:rsid w:val="0047593C"/>
    <w:rsid w:val="00476B52"/>
    <w:rsid w:val="0048332B"/>
    <w:rsid w:val="00483974"/>
    <w:rsid w:val="00483C11"/>
    <w:rsid w:val="00485566"/>
    <w:rsid w:val="00486F54"/>
    <w:rsid w:val="0048797F"/>
    <w:rsid w:val="00490898"/>
    <w:rsid w:val="00490ECD"/>
    <w:rsid w:val="004921C4"/>
    <w:rsid w:val="004942CD"/>
    <w:rsid w:val="00494DEB"/>
    <w:rsid w:val="00495223"/>
    <w:rsid w:val="00495F6B"/>
    <w:rsid w:val="00496C3C"/>
    <w:rsid w:val="0049739C"/>
    <w:rsid w:val="004A0553"/>
    <w:rsid w:val="004A3A81"/>
    <w:rsid w:val="004A402E"/>
    <w:rsid w:val="004A46DD"/>
    <w:rsid w:val="004A5386"/>
    <w:rsid w:val="004A6EC6"/>
    <w:rsid w:val="004A7BAD"/>
    <w:rsid w:val="004B1B78"/>
    <w:rsid w:val="004B24D0"/>
    <w:rsid w:val="004B2E91"/>
    <w:rsid w:val="004B4134"/>
    <w:rsid w:val="004B4C32"/>
    <w:rsid w:val="004B5EEA"/>
    <w:rsid w:val="004C0FDA"/>
    <w:rsid w:val="004C1637"/>
    <w:rsid w:val="004C164F"/>
    <w:rsid w:val="004C2C86"/>
    <w:rsid w:val="004C3A87"/>
    <w:rsid w:val="004C50BB"/>
    <w:rsid w:val="004C636A"/>
    <w:rsid w:val="004C71B7"/>
    <w:rsid w:val="004C7623"/>
    <w:rsid w:val="004D16D7"/>
    <w:rsid w:val="004D1AD5"/>
    <w:rsid w:val="004D24E6"/>
    <w:rsid w:val="004D38E2"/>
    <w:rsid w:val="004D5E8A"/>
    <w:rsid w:val="004D6111"/>
    <w:rsid w:val="004D737E"/>
    <w:rsid w:val="004E095E"/>
    <w:rsid w:val="004E0CCD"/>
    <w:rsid w:val="004E1404"/>
    <w:rsid w:val="004E3CBB"/>
    <w:rsid w:val="004E3F8F"/>
    <w:rsid w:val="004E61D9"/>
    <w:rsid w:val="004F05D9"/>
    <w:rsid w:val="004F0AF9"/>
    <w:rsid w:val="004F2F38"/>
    <w:rsid w:val="004F3064"/>
    <w:rsid w:val="004F32D3"/>
    <w:rsid w:val="004F5A42"/>
    <w:rsid w:val="004F7CDF"/>
    <w:rsid w:val="00501460"/>
    <w:rsid w:val="0050220F"/>
    <w:rsid w:val="00503E72"/>
    <w:rsid w:val="00503FC3"/>
    <w:rsid w:val="00504FF1"/>
    <w:rsid w:val="00505181"/>
    <w:rsid w:val="00507216"/>
    <w:rsid w:val="00507C6F"/>
    <w:rsid w:val="00512AE1"/>
    <w:rsid w:val="00513752"/>
    <w:rsid w:val="005149D4"/>
    <w:rsid w:val="00514D50"/>
    <w:rsid w:val="00514FB7"/>
    <w:rsid w:val="00517E86"/>
    <w:rsid w:val="00520547"/>
    <w:rsid w:val="00520F75"/>
    <w:rsid w:val="00521C7E"/>
    <w:rsid w:val="00522D38"/>
    <w:rsid w:val="00524A18"/>
    <w:rsid w:val="0052503E"/>
    <w:rsid w:val="005265B0"/>
    <w:rsid w:val="00527A63"/>
    <w:rsid w:val="005303DA"/>
    <w:rsid w:val="00530FDE"/>
    <w:rsid w:val="00531188"/>
    <w:rsid w:val="00532E9E"/>
    <w:rsid w:val="00533B38"/>
    <w:rsid w:val="00533B74"/>
    <w:rsid w:val="005365BF"/>
    <w:rsid w:val="005373F4"/>
    <w:rsid w:val="0054055F"/>
    <w:rsid w:val="00540D6C"/>
    <w:rsid w:val="00540D81"/>
    <w:rsid w:val="005417B1"/>
    <w:rsid w:val="00543305"/>
    <w:rsid w:val="00543E1B"/>
    <w:rsid w:val="005455DD"/>
    <w:rsid w:val="00545A35"/>
    <w:rsid w:val="0054677A"/>
    <w:rsid w:val="00547B17"/>
    <w:rsid w:val="0055066B"/>
    <w:rsid w:val="00550D4B"/>
    <w:rsid w:val="005511F2"/>
    <w:rsid w:val="005516BE"/>
    <w:rsid w:val="005519D1"/>
    <w:rsid w:val="00552417"/>
    <w:rsid w:val="00553103"/>
    <w:rsid w:val="0055452C"/>
    <w:rsid w:val="00555732"/>
    <w:rsid w:val="005562B7"/>
    <w:rsid w:val="005564B4"/>
    <w:rsid w:val="00556826"/>
    <w:rsid w:val="00557525"/>
    <w:rsid w:val="00560053"/>
    <w:rsid w:val="005602C7"/>
    <w:rsid w:val="005602F4"/>
    <w:rsid w:val="0056075E"/>
    <w:rsid w:val="00561622"/>
    <w:rsid w:val="005631D2"/>
    <w:rsid w:val="00563356"/>
    <w:rsid w:val="00564061"/>
    <w:rsid w:val="005642A6"/>
    <w:rsid w:val="00564B7B"/>
    <w:rsid w:val="00565277"/>
    <w:rsid w:val="0056570E"/>
    <w:rsid w:val="005678C8"/>
    <w:rsid w:val="0056796B"/>
    <w:rsid w:val="00567AA7"/>
    <w:rsid w:val="00567B7D"/>
    <w:rsid w:val="0057112B"/>
    <w:rsid w:val="005715EB"/>
    <w:rsid w:val="0057244C"/>
    <w:rsid w:val="005727AE"/>
    <w:rsid w:val="00572C6C"/>
    <w:rsid w:val="0057395F"/>
    <w:rsid w:val="00575989"/>
    <w:rsid w:val="005768A3"/>
    <w:rsid w:val="00576B03"/>
    <w:rsid w:val="00576ECC"/>
    <w:rsid w:val="00577158"/>
    <w:rsid w:val="00577535"/>
    <w:rsid w:val="005804A4"/>
    <w:rsid w:val="00585C13"/>
    <w:rsid w:val="005910D2"/>
    <w:rsid w:val="00592D07"/>
    <w:rsid w:val="00593932"/>
    <w:rsid w:val="00594476"/>
    <w:rsid w:val="0059447F"/>
    <w:rsid w:val="00594DC2"/>
    <w:rsid w:val="005962D9"/>
    <w:rsid w:val="00596552"/>
    <w:rsid w:val="00596AB9"/>
    <w:rsid w:val="005A46F6"/>
    <w:rsid w:val="005A607E"/>
    <w:rsid w:val="005A7274"/>
    <w:rsid w:val="005B2085"/>
    <w:rsid w:val="005B44B1"/>
    <w:rsid w:val="005B44EC"/>
    <w:rsid w:val="005B48F7"/>
    <w:rsid w:val="005B4BB8"/>
    <w:rsid w:val="005B5DB1"/>
    <w:rsid w:val="005B6E2A"/>
    <w:rsid w:val="005C1491"/>
    <w:rsid w:val="005C1ACD"/>
    <w:rsid w:val="005C1C7C"/>
    <w:rsid w:val="005C287B"/>
    <w:rsid w:val="005C48FC"/>
    <w:rsid w:val="005C7480"/>
    <w:rsid w:val="005C7892"/>
    <w:rsid w:val="005C7DE2"/>
    <w:rsid w:val="005D159F"/>
    <w:rsid w:val="005D25A3"/>
    <w:rsid w:val="005D35D0"/>
    <w:rsid w:val="005D388F"/>
    <w:rsid w:val="005D440E"/>
    <w:rsid w:val="005D47D6"/>
    <w:rsid w:val="005D488D"/>
    <w:rsid w:val="005D78D1"/>
    <w:rsid w:val="005D7DA0"/>
    <w:rsid w:val="005E1B26"/>
    <w:rsid w:val="005E3C58"/>
    <w:rsid w:val="005E4123"/>
    <w:rsid w:val="005E5C6F"/>
    <w:rsid w:val="005F04A7"/>
    <w:rsid w:val="005F20DD"/>
    <w:rsid w:val="005F30AF"/>
    <w:rsid w:val="005F3258"/>
    <w:rsid w:val="005F56A3"/>
    <w:rsid w:val="005F58C3"/>
    <w:rsid w:val="005F60CD"/>
    <w:rsid w:val="005F6B12"/>
    <w:rsid w:val="005F70C1"/>
    <w:rsid w:val="00600FA0"/>
    <w:rsid w:val="006028E1"/>
    <w:rsid w:val="00603786"/>
    <w:rsid w:val="00603B81"/>
    <w:rsid w:val="006046DD"/>
    <w:rsid w:val="00606E08"/>
    <w:rsid w:val="00606F3E"/>
    <w:rsid w:val="00607422"/>
    <w:rsid w:val="00613CEF"/>
    <w:rsid w:val="00615CCF"/>
    <w:rsid w:val="00615E6C"/>
    <w:rsid w:val="006164A1"/>
    <w:rsid w:val="00616D0B"/>
    <w:rsid w:val="00620473"/>
    <w:rsid w:val="00620775"/>
    <w:rsid w:val="00622554"/>
    <w:rsid w:val="0062332D"/>
    <w:rsid w:val="00624C46"/>
    <w:rsid w:val="00625E80"/>
    <w:rsid w:val="0062630D"/>
    <w:rsid w:val="006265E7"/>
    <w:rsid w:val="0062673E"/>
    <w:rsid w:val="0062711A"/>
    <w:rsid w:val="00631D04"/>
    <w:rsid w:val="00633189"/>
    <w:rsid w:val="00635240"/>
    <w:rsid w:val="00635C99"/>
    <w:rsid w:val="00635CFF"/>
    <w:rsid w:val="00636316"/>
    <w:rsid w:val="006370CC"/>
    <w:rsid w:val="00637F06"/>
    <w:rsid w:val="006411EA"/>
    <w:rsid w:val="00641B83"/>
    <w:rsid w:val="00641BC3"/>
    <w:rsid w:val="00641D1B"/>
    <w:rsid w:val="006436D1"/>
    <w:rsid w:val="00643D0D"/>
    <w:rsid w:val="00644DD6"/>
    <w:rsid w:val="006454F5"/>
    <w:rsid w:val="006466D5"/>
    <w:rsid w:val="00646EDA"/>
    <w:rsid w:val="006476F1"/>
    <w:rsid w:val="00647EF9"/>
    <w:rsid w:val="006527A7"/>
    <w:rsid w:val="006537F1"/>
    <w:rsid w:val="00654592"/>
    <w:rsid w:val="00661175"/>
    <w:rsid w:val="006648CA"/>
    <w:rsid w:val="00664A1C"/>
    <w:rsid w:val="00666C87"/>
    <w:rsid w:val="00670871"/>
    <w:rsid w:val="00670A92"/>
    <w:rsid w:val="006711D7"/>
    <w:rsid w:val="00672156"/>
    <w:rsid w:val="006727DC"/>
    <w:rsid w:val="00673D02"/>
    <w:rsid w:val="0067591C"/>
    <w:rsid w:val="00677360"/>
    <w:rsid w:val="006802C1"/>
    <w:rsid w:val="00681BFF"/>
    <w:rsid w:val="00681D80"/>
    <w:rsid w:val="0068258F"/>
    <w:rsid w:val="00682DD1"/>
    <w:rsid w:val="00684094"/>
    <w:rsid w:val="00684705"/>
    <w:rsid w:val="006848DC"/>
    <w:rsid w:val="0068694A"/>
    <w:rsid w:val="00687270"/>
    <w:rsid w:val="00687D7A"/>
    <w:rsid w:val="00690475"/>
    <w:rsid w:val="00690E6A"/>
    <w:rsid w:val="006920E1"/>
    <w:rsid w:val="006922DD"/>
    <w:rsid w:val="00692C7F"/>
    <w:rsid w:val="00693501"/>
    <w:rsid w:val="00693B4E"/>
    <w:rsid w:val="00693CFA"/>
    <w:rsid w:val="006955E3"/>
    <w:rsid w:val="00695CC3"/>
    <w:rsid w:val="00695F8C"/>
    <w:rsid w:val="00696E11"/>
    <w:rsid w:val="006A0C53"/>
    <w:rsid w:val="006A0F1D"/>
    <w:rsid w:val="006A15AB"/>
    <w:rsid w:val="006A24AF"/>
    <w:rsid w:val="006A2BC7"/>
    <w:rsid w:val="006A4233"/>
    <w:rsid w:val="006A477B"/>
    <w:rsid w:val="006A73C0"/>
    <w:rsid w:val="006B0783"/>
    <w:rsid w:val="006B09A1"/>
    <w:rsid w:val="006B1324"/>
    <w:rsid w:val="006B1985"/>
    <w:rsid w:val="006B3040"/>
    <w:rsid w:val="006B329E"/>
    <w:rsid w:val="006B4AB0"/>
    <w:rsid w:val="006B548F"/>
    <w:rsid w:val="006B5C8C"/>
    <w:rsid w:val="006B64B5"/>
    <w:rsid w:val="006B6F4B"/>
    <w:rsid w:val="006C2389"/>
    <w:rsid w:val="006C313E"/>
    <w:rsid w:val="006C3175"/>
    <w:rsid w:val="006C402A"/>
    <w:rsid w:val="006C4E15"/>
    <w:rsid w:val="006C526F"/>
    <w:rsid w:val="006C6E97"/>
    <w:rsid w:val="006C777A"/>
    <w:rsid w:val="006C78CD"/>
    <w:rsid w:val="006C7A06"/>
    <w:rsid w:val="006D06CE"/>
    <w:rsid w:val="006D1F08"/>
    <w:rsid w:val="006D2084"/>
    <w:rsid w:val="006E0344"/>
    <w:rsid w:val="006E0634"/>
    <w:rsid w:val="006E0FE4"/>
    <w:rsid w:val="006E1EB9"/>
    <w:rsid w:val="006E34FF"/>
    <w:rsid w:val="006E4117"/>
    <w:rsid w:val="006E461F"/>
    <w:rsid w:val="006E523C"/>
    <w:rsid w:val="006E525B"/>
    <w:rsid w:val="006E6460"/>
    <w:rsid w:val="006F200B"/>
    <w:rsid w:val="006F2B79"/>
    <w:rsid w:val="006F3279"/>
    <w:rsid w:val="006F3BA1"/>
    <w:rsid w:val="006F41A9"/>
    <w:rsid w:val="006F6892"/>
    <w:rsid w:val="006F6C1E"/>
    <w:rsid w:val="006F6E1A"/>
    <w:rsid w:val="006F6FD3"/>
    <w:rsid w:val="006F7072"/>
    <w:rsid w:val="0070052C"/>
    <w:rsid w:val="00702970"/>
    <w:rsid w:val="00705F86"/>
    <w:rsid w:val="007070DD"/>
    <w:rsid w:val="00710975"/>
    <w:rsid w:val="00710B13"/>
    <w:rsid w:val="00711584"/>
    <w:rsid w:val="00711809"/>
    <w:rsid w:val="0071573C"/>
    <w:rsid w:val="00715BF6"/>
    <w:rsid w:val="007164DD"/>
    <w:rsid w:val="00716939"/>
    <w:rsid w:val="00716F08"/>
    <w:rsid w:val="0071789E"/>
    <w:rsid w:val="007217C7"/>
    <w:rsid w:val="0072261D"/>
    <w:rsid w:val="00723111"/>
    <w:rsid w:val="0072436A"/>
    <w:rsid w:val="00725073"/>
    <w:rsid w:val="00725557"/>
    <w:rsid w:val="00725933"/>
    <w:rsid w:val="00725C23"/>
    <w:rsid w:val="0072706C"/>
    <w:rsid w:val="00727538"/>
    <w:rsid w:val="00727B31"/>
    <w:rsid w:val="00727B8E"/>
    <w:rsid w:val="00731350"/>
    <w:rsid w:val="00731C76"/>
    <w:rsid w:val="00732C0F"/>
    <w:rsid w:val="00736E82"/>
    <w:rsid w:val="00740127"/>
    <w:rsid w:val="00740ACA"/>
    <w:rsid w:val="00740E21"/>
    <w:rsid w:val="0074213E"/>
    <w:rsid w:val="007438A8"/>
    <w:rsid w:val="00746FDB"/>
    <w:rsid w:val="00750332"/>
    <w:rsid w:val="00750A38"/>
    <w:rsid w:val="00750F73"/>
    <w:rsid w:val="00752848"/>
    <w:rsid w:val="00752C96"/>
    <w:rsid w:val="00754553"/>
    <w:rsid w:val="0075497E"/>
    <w:rsid w:val="00755471"/>
    <w:rsid w:val="00755C97"/>
    <w:rsid w:val="00756B64"/>
    <w:rsid w:val="00756E0C"/>
    <w:rsid w:val="00757029"/>
    <w:rsid w:val="007602F3"/>
    <w:rsid w:val="00761210"/>
    <w:rsid w:val="00762359"/>
    <w:rsid w:val="00762F62"/>
    <w:rsid w:val="00763435"/>
    <w:rsid w:val="00763AC9"/>
    <w:rsid w:val="00765621"/>
    <w:rsid w:val="00766B7F"/>
    <w:rsid w:val="0076745A"/>
    <w:rsid w:val="00767A5F"/>
    <w:rsid w:val="0077021F"/>
    <w:rsid w:val="00770372"/>
    <w:rsid w:val="0077095D"/>
    <w:rsid w:val="0077162A"/>
    <w:rsid w:val="00771935"/>
    <w:rsid w:val="00771AD1"/>
    <w:rsid w:val="007744E8"/>
    <w:rsid w:val="00783782"/>
    <w:rsid w:val="007849FD"/>
    <w:rsid w:val="0078507C"/>
    <w:rsid w:val="00786956"/>
    <w:rsid w:val="0079082A"/>
    <w:rsid w:val="007917D2"/>
    <w:rsid w:val="00792083"/>
    <w:rsid w:val="00793710"/>
    <w:rsid w:val="00794EDF"/>
    <w:rsid w:val="007960B1"/>
    <w:rsid w:val="007963F3"/>
    <w:rsid w:val="00797446"/>
    <w:rsid w:val="007A0BDE"/>
    <w:rsid w:val="007A2751"/>
    <w:rsid w:val="007A2A3B"/>
    <w:rsid w:val="007A34E5"/>
    <w:rsid w:val="007A3F08"/>
    <w:rsid w:val="007A49B0"/>
    <w:rsid w:val="007A4E0B"/>
    <w:rsid w:val="007A563C"/>
    <w:rsid w:val="007A7D4E"/>
    <w:rsid w:val="007B0718"/>
    <w:rsid w:val="007B19FF"/>
    <w:rsid w:val="007B443A"/>
    <w:rsid w:val="007B4C82"/>
    <w:rsid w:val="007B4E43"/>
    <w:rsid w:val="007B6768"/>
    <w:rsid w:val="007B6B4C"/>
    <w:rsid w:val="007B6D47"/>
    <w:rsid w:val="007C0E3B"/>
    <w:rsid w:val="007C129D"/>
    <w:rsid w:val="007C2A45"/>
    <w:rsid w:val="007C4ACA"/>
    <w:rsid w:val="007C7D38"/>
    <w:rsid w:val="007D06EC"/>
    <w:rsid w:val="007D23CC"/>
    <w:rsid w:val="007D278C"/>
    <w:rsid w:val="007D2B61"/>
    <w:rsid w:val="007D47F3"/>
    <w:rsid w:val="007D7D55"/>
    <w:rsid w:val="007E0530"/>
    <w:rsid w:val="007E0B73"/>
    <w:rsid w:val="007E0FA4"/>
    <w:rsid w:val="007E1EBB"/>
    <w:rsid w:val="007E2554"/>
    <w:rsid w:val="007E29A3"/>
    <w:rsid w:val="007E2E12"/>
    <w:rsid w:val="007E3856"/>
    <w:rsid w:val="007E4CFB"/>
    <w:rsid w:val="007E72A9"/>
    <w:rsid w:val="007E732A"/>
    <w:rsid w:val="007E7CB0"/>
    <w:rsid w:val="007F0AE4"/>
    <w:rsid w:val="007F1B4F"/>
    <w:rsid w:val="007F25E4"/>
    <w:rsid w:val="007F3F33"/>
    <w:rsid w:val="007F45DF"/>
    <w:rsid w:val="007F5373"/>
    <w:rsid w:val="007F591E"/>
    <w:rsid w:val="007F5B6A"/>
    <w:rsid w:val="00800C48"/>
    <w:rsid w:val="00803D6C"/>
    <w:rsid w:val="008041D8"/>
    <w:rsid w:val="00806877"/>
    <w:rsid w:val="008076DA"/>
    <w:rsid w:val="008076E0"/>
    <w:rsid w:val="008103BB"/>
    <w:rsid w:val="0081149D"/>
    <w:rsid w:val="00811E2E"/>
    <w:rsid w:val="00812AD7"/>
    <w:rsid w:val="00812FE4"/>
    <w:rsid w:val="00814604"/>
    <w:rsid w:val="00815292"/>
    <w:rsid w:val="0081537B"/>
    <w:rsid w:val="00815E9F"/>
    <w:rsid w:val="008169FC"/>
    <w:rsid w:val="00817323"/>
    <w:rsid w:val="008203C4"/>
    <w:rsid w:val="008205D0"/>
    <w:rsid w:val="0082238D"/>
    <w:rsid w:val="008236A8"/>
    <w:rsid w:val="00824738"/>
    <w:rsid w:val="00826678"/>
    <w:rsid w:val="00827099"/>
    <w:rsid w:val="008272C7"/>
    <w:rsid w:val="00827394"/>
    <w:rsid w:val="0082789C"/>
    <w:rsid w:val="00830097"/>
    <w:rsid w:val="00830616"/>
    <w:rsid w:val="008308FE"/>
    <w:rsid w:val="00830A90"/>
    <w:rsid w:val="008310B7"/>
    <w:rsid w:val="00831302"/>
    <w:rsid w:val="008336FB"/>
    <w:rsid w:val="008337EF"/>
    <w:rsid w:val="0083560A"/>
    <w:rsid w:val="0083615F"/>
    <w:rsid w:val="008369A0"/>
    <w:rsid w:val="00836C70"/>
    <w:rsid w:val="00837A7D"/>
    <w:rsid w:val="00840019"/>
    <w:rsid w:val="0084011B"/>
    <w:rsid w:val="0084116A"/>
    <w:rsid w:val="00841660"/>
    <w:rsid w:val="00841C0F"/>
    <w:rsid w:val="00841C1F"/>
    <w:rsid w:val="00841C9F"/>
    <w:rsid w:val="00841E8F"/>
    <w:rsid w:val="008420FD"/>
    <w:rsid w:val="00842974"/>
    <w:rsid w:val="00844536"/>
    <w:rsid w:val="00845681"/>
    <w:rsid w:val="008457E0"/>
    <w:rsid w:val="00850B71"/>
    <w:rsid w:val="00851D77"/>
    <w:rsid w:val="00852042"/>
    <w:rsid w:val="008522B1"/>
    <w:rsid w:val="00852AE7"/>
    <w:rsid w:val="00853D8E"/>
    <w:rsid w:val="00853E25"/>
    <w:rsid w:val="00853F2D"/>
    <w:rsid w:val="008544CC"/>
    <w:rsid w:val="00854910"/>
    <w:rsid w:val="008554E4"/>
    <w:rsid w:val="00855BB9"/>
    <w:rsid w:val="00855E7F"/>
    <w:rsid w:val="00856EBA"/>
    <w:rsid w:val="008619CF"/>
    <w:rsid w:val="0086347A"/>
    <w:rsid w:val="008647F9"/>
    <w:rsid w:val="00865A16"/>
    <w:rsid w:val="00866EDE"/>
    <w:rsid w:val="00867028"/>
    <w:rsid w:val="00867B92"/>
    <w:rsid w:val="00871B67"/>
    <w:rsid w:val="0087213B"/>
    <w:rsid w:val="00872D11"/>
    <w:rsid w:val="00873901"/>
    <w:rsid w:val="00873FC6"/>
    <w:rsid w:val="00875A67"/>
    <w:rsid w:val="00876989"/>
    <w:rsid w:val="00876D94"/>
    <w:rsid w:val="0087799A"/>
    <w:rsid w:val="00881543"/>
    <w:rsid w:val="00882497"/>
    <w:rsid w:val="008826B7"/>
    <w:rsid w:val="00882C2B"/>
    <w:rsid w:val="008833D0"/>
    <w:rsid w:val="00884F63"/>
    <w:rsid w:val="0088576D"/>
    <w:rsid w:val="008858A5"/>
    <w:rsid w:val="00885BD5"/>
    <w:rsid w:val="00886E31"/>
    <w:rsid w:val="008875A7"/>
    <w:rsid w:val="00891788"/>
    <w:rsid w:val="00891893"/>
    <w:rsid w:val="00892B85"/>
    <w:rsid w:val="008962C7"/>
    <w:rsid w:val="008962D3"/>
    <w:rsid w:val="00896579"/>
    <w:rsid w:val="008A025E"/>
    <w:rsid w:val="008A213B"/>
    <w:rsid w:val="008A2904"/>
    <w:rsid w:val="008A2EDA"/>
    <w:rsid w:val="008A46BC"/>
    <w:rsid w:val="008B0571"/>
    <w:rsid w:val="008B0FEF"/>
    <w:rsid w:val="008B25D8"/>
    <w:rsid w:val="008B31BA"/>
    <w:rsid w:val="008B39E5"/>
    <w:rsid w:val="008B4CE3"/>
    <w:rsid w:val="008B4D61"/>
    <w:rsid w:val="008B4FE5"/>
    <w:rsid w:val="008B5116"/>
    <w:rsid w:val="008B6C23"/>
    <w:rsid w:val="008B7687"/>
    <w:rsid w:val="008B786E"/>
    <w:rsid w:val="008B7D98"/>
    <w:rsid w:val="008C0387"/>
    <w:rsid w:val="008C1616"/>
    <w:rsid w:val="008C1977"/>
    <w:rsid w:val="008C210F"/>
    <w:rsid w:val="008C386E"/>
    <w:rsid w:val="008C397E"/>
    <w:rsid w:val="008C3A4C"/>
    <w:rsid w:val="008C3EA8"/>
    <w:rsid w:val="008C4197"/>
    <w:rsid w:val="008C6DEF"/>
    <w:rsid w:val="008C7125"/>
    <w:rsid w:val="008D20C6"/>
    <w:rsid w:val="008D4976"/>
    <w:rsid w:val="008D517D"/>
    <w:rsid w:val="008D588E"/>
    <w:rsid w:val="008D5E95"/>
    <w:rsid w:val="008D68BC"/>
    <w:rsid w:val="008D6CD3"/>
    <w:rsid w:val="008D7212"/>
    <w:rsid w:val="008D7D16"/>
    <w:rsid w:val="008E0172"/>
    <w:rsid w:val="008E0509"/>
    <w:rsid w:val="008E16FF"/>
    <w:rsid w:val="008E20BC"/>
    <w:rsid w:val="008E2F09"/>
    <w:rsid w:val="008E5463"/>
    <w:rsid w:val="008E54FD"/>
    <w:rsid w:val="008E5940"/>
    <w:rsid w:val="008F025B"/>
    <w:rsid w:val="008F122A"/>
    <w:rsid w:val="008F17E9"/>
    <w:rsid w:val="008F1FC7"/>
    <w:rsid w:val="008F2D2C"/>
    <w:rsid w:val="008F55A3"/>
    <w:rsid w:val="008F6A66"/>
    <w:rsid w:val="008F7FC9"/>
    <w:rsid w:val="009007BD"/>
    <w:rsid w:val="00903C6A"/>
    <w:rsid w:val="009052D2"/>
    <w:rsid w:val="009052E2"/>
    <w:rsid w:val="00906525"/>
    <w:rsid w:val="009072DC"/>
    <w:rsid w:val="00907582"/>
    <w:rsid w:val="00907623"/>
    <w:rsid w:val="00910CD0"/>
    <w:rsid w:val="00911369"/>
    <w:rsid w:val="0091143D"/>
    <w:rsid w:val="0091624A"/>
    <w:rsid w:val="00920B83"/>
    <w:rsid w:val="00925C23"/>
    <w:rsid w:val="009262C5"/>
    <w:rsid w:val="009273BE"/>
    <w:rsid w:val="00927504"/>
    <w:rsid w:val="00927887"/>
    <w:rsid w:val="0093425C"/>
    <w:rsid w:val="0093644D"/>
    <w:rsid w:val="0093762E"/>
    <w:rsid w:val="009400B4"/>
    <w:rsid w:val="00940420"/>
    <w:rsid w:val="0094052F"/>
    <w:rsid w:val="00941272"/>
    <w:rsid w:val="00942981"/>
    <w:rsid w:val="00943DE7"/>
    <w:rsid w:val="009444AD"/>
    <w:rsid w:val="00944ECF"/>
    <w:rsid w:val="00944F12"/>
    <w:rsid w:val="00947245"/>
    <w:rsid w:val="00947D56"/>
    <w:rsid w:val="00950A0B"/>
    <w:rsid w:val="009529E7"/>
    <w:rsid w:val="009531F8"/>
    <w:rsid w:val="00956C71"/>
    <w:rsid w:val="00960091"/>
    <w:rsid w:val="00960C74"/>
    <w:rsid w:val="00962409"/>
    <w:rsid w:val="00964384"/>
    <w:rsid w:val="00964A89"/>
    <w:rsid w:val="00964B19"/>
    <w:rsid w:val="00964D22"/>
    <w:rsid w:val="009655B3"/>
    <w:rsid w:val="00967F1B"/>
    <w:rsid w:val="00970C03"/>
    <w:rsid w:val="0097227E"/>
    <w:rsid w:val="00972535"/>
    <w:rsid w:val="009729CA"/>
    <w:rsid w:val="00972E7D"/>
    <w:rsid w:val="009730D1"/>
    <w:rsid w:val="00973B88"/>
    <w:rsid w:val="00973D98"/>
    <w:rsid w:val="00973E93"/>
    <w:rsid w:val="009740F2"/>
    <w:rsid w:val="009758E6"/>
    <w:rsid w:val="009768BA"/>
    <w:rsid w:val="009768FC"/>
    <w:rsid w:val="009806F6"/>
    <w:rsid w:val="00981718"/>
    <w:rsid w:val="00981B12"/>
    <w:rsid w:val="00983BDB"/>
    <w:rsid w:val="00986F25"/>
    <w:rsid w:val="00990BAE"/>
    <w:rsid w:val="00990FD3"/>
    <w:rsid w:val="009912F1"/>
    <w:rsid w:val="00991305"/>
    <w:rsid w:val="009968B8"/>
    <w:rsid w:val="009A05F7"/>
    <w:rsid w:val="009A06EB"/>
    <w:rsid w:val="009A0EB6"/>
    <w:rsid w:val="009A23BB"/>
    <w:rsid w:val="009A2E11"/>
    <w:rsid w:val="009A4829"/>
    <w:rsid w:val="009A490F"/>
    <w:rsid w:val="009A4975"/>
    <w:rsid w:val="009A4AEB"/>
    <w:rsid w:val="009A56C0"/>
    <w:rsid w:val="009A5F4B"/>
    <w:rsid w:val="009A6BDA"/>
    <w:rsid w:val="009A6C9A"/>
    <w:rsid w:val="009A7A70"/>
    <w:rsid w:val="009A7FD6"/>
    <w:rsid w:val="009B07E1"/>
    <w:rsid w:val="009B3608"/>
    <w:rsid w:val="009B3746"/>
    <w:rsid w:val="009B4803"/>
    <w:rsid w:val="009C08DB"/>
    <w:rsid w:val="009C0FE5"/>
    <w:rsid w:val="009C1F60"/>
    <w:rsid w:val="009C2643"/>
    <w:rsid w:val="009C65CF"/>
    <w:rsid w:val="009D03B2"/>
    <w:rsid w:val="009D35B3"/>
    <w:rsid w:val="009D3973"/>
    <w:rsid w:val="009D3DD2"/>
    <w:rsid w:val="009D4ACD"/>
    <w:rsid w:val="009D52D1"/>
    <w:rsid w:val="009D537B"/>
    <w:rsid w:val="009D556B"/>
    <w:rsid w:val="009D7121"/>
    <w:rsid w:val="009D7228"/>
    <w:rsid w:val="009D7FEC"/>
    <w:rsid w:val="009E05D0"/>
    <w:rsid w:val="009E0AF4"/>
    <w:rsid w:val="009E1C38"/>
    <w:rsid w:val="009E1DE5"/>
    <w:rsid w:val="009E1E77"/>
    <w:rsid w:val="009E2528"/>
    <w:rsid w:val="009E46D7"/>
    <w:rsid w:val="009E4952"/>
    <w:rsid w:val="009E50E7"/>
    <w:rsid w:val="009E5645"/>
    <w:rsid w:val="009E6C0E"/>
    <w:rsid w:val="009E7061"/>
    <w:rsid w:val="009E78E8"/>
    <w:rsid w:val="009F0AFC"/>
    <w:rsid w:val="009F1D97"/>
    <w:rsid w:val="009F2444"/>
    <w:rsid w:val="009F256C"/>
    <w:rsid w:val="009F3704"/>
    <w:rsid w:val="009F3D59"/>
    <w:rsid w:val="009F58F5"/>
    <w:rsid w:val="009F6BEE"/>
    <w:rsid w:val="009F7071"/>
    <w:rsid w:val="009F754F"/>
    <w:rsid w:val="00A00C62"/>
    <w:rsid w:val="00A00D22"/>
    <w:rsid w:val="00A0202C"/>
    <w:rsid w:val="00A03F1B"/>
    <w:rsid w:val="00A05A7C"/>
    <w:rsid w:val="00A06205"/>
    <w:rsid w:val="00A06741"/>
    <w:rsid w:val="00A06F4D"/>
    <w:rsid w:val="00A07F97"/>
    <w:rsid w:val="00A107CD"/>
    <w:rsid w:val="00A12685"/>
    <w:rsid w:val="00A139F0"/>
    <w:rsid w:val="00A14DDC"/>
    <w:rsid w:val="00A1568C"/>
    <w:rsid w:val="00A16D92"/>
    <w:rsid w:val="00A20040"/>
    <w:rsid w:val="00A20059"/>
    <w:rsid w:val="00A20420"/>
    <w:rsid w:val="00A208D1"/>
    <w:rsid w:val="00A20F65"/>
    <w:rsid w:val="00A210C6"/>
    <w:rsid w:val="00A21E13"/>
    <w:rsid w:val="00A22F65"/>
    <w:rsid w:val="00A23C41"/>
    <w:rsid w:val="00A23D2A"/>
    <w:rsid w:val="00A2411B"/>
    <w:rsid w:val="00A24F2A"/>
    <w:rsid w:val="00A25037"/>
    <w:rsid w:val="00A252D5"/>
    <w:rsid w:val="00A26818"/>
    <w:rsid w:val="00A279F6"/>
    <w:rsid w:val="00A27A1B"/>
    <w:rsid w:val="00A30EB4"/>
    <w:rsid w:val="00A31546"/>
    <w:rsid w:val="00A31BAB"/>
    <w:rsid w:val="00A32274"/>
    <w:rsid w:val="00A35E18"/>
    <w:rsid w:val="00A3631E"/>
    <w:rsid w:val="00A36930"/>
    <w:rsid w:val="00A36FCF"/>
    <w:rsid w:val="00A40FFE"/>
    <w:rsid w:val="00A42C74"/>
    <w:rsid w:val="00A434B7"/>
    <w:rsid w:val="00A44118"/>
    <w:rsid w:val="00A44406"/>
    <w:rsid w:val="00A44A0B"/>
    <w:rsid w:val="00A44E0E"/>
    <w:rsid w:val="00A45A6B"/>
    <w:rsid w:val="00A471BC"/>
    <w:rsid w:val="00A50DFB"/>
    <w:rsid w:val="00A51744"/>
    <w:rsid w:val="00A5212A"/>
    <w:rsid w:val="00A53A69"/>
    <w:rsid w:val="00A56DEC"/>
    <w:rsid w:val="00A57919"/>
    <w:rsid w:val="00A61B11"/>
    <w:rsid w:val="00A62169"/>
    <w:rsid w:val="00A63104"/>
    <w:rsid w:val="00A63E02"/>
    <w:rsid w:val="00A66326"/>
    <w:rsid w:val="00A663B5"/>
    <w:rsid w:val="00A66A7D"/>
    <w:rsid w:val="00A67C1A"/>
    <w:rsid w:val="00A702BA"/>
    <w:rsid w:val="00A71512"/>
    <w:rsid w:val="00A72BD6"/>
    <w:rsid w:val="00A73AE9"/>
    <w:rsid w:val="00A73B18"/>
    <w:rsid w:val="00A744A5"/>
    <w:rsid w:val="00A755C6"/>
    <w:rsid w:val="00A76E32"/>
    <w:rsid w:val="00A77D4C"/>
    <w:rsid w:val="00A819A9"/>
    <w:rsid w:val="00A825AC"/>
    <w:rsid w:val="00A83078"/>
    <w:rsid w:val="00A840CE"/>
    <w:rsid w:val="00A854F6"/>
    <w:rsid w:val="00A858BA"/>
    <w:rsid w:val="00A86DAF"/>
    <w:rsid w:val="00A87775"/>
    <w:rsid w:val="00A90B6B"/>
    <w:rsid w:val="00A90D26"/>
    <w:rsid w:val="00A91910"/>
    <w:rsid w:val="00A91D56"/>
    <w:rsid w:val="00A921A3"/>
    <w:rsid w:val="00A93B73"/>
    <w:rsid w:val="00A94903"/>
    <w:rsid w:val="00A95B96"/>
    <w:rsid w:val="00A95E1D"/>
    <w:rsid w:val="00A975C6"/>
    <w:rsid w:val="00AA131F"/>
    <w:rsid w:val="00AA1C35"/>
    <w:rsid w:val="00AA2374"/>
    <w:rsid w:val="00AA2D81"/>
    <w:rsid w:val="00AA319D"/>
    <w:rsid w:val="00AA375A"/>
    <w:rsid w:val="00AA51BF"/>
    <w:rsid w:val="00AA6268"/>
    <w:rsid w:val="00AA6BD0"/>
    <w:rsid w:val="00AB03C7"/>
    <w:rsid w:val="00AB2991"/>
    <w:rsid w:val="00AB2A5A"/>
    <w:rsid w:val="00AB4C9D"/>
    <w:rsid w:val="00AB4E5A"/>
    <w:rsid w:val="00AB60B1"/>
    <w:rsid w:val="00AB6214"/>
    <w:rsid w:val="00AB69F4"/>
    <w:rsid w:val="00AB6DB0"/>
    <w:rsid w:val="00AC1211"/>
    <w:rsid w:val="00AC364B"/>
    <w:rsid w:val="00AC3B65"/>
    <w:rsid w:val="00AC4A68"/>
    <w:rsid w:val="00AC4FE3"/>
    <w:rsid w:val="00AC5FA6"/>
    <w:rsid w:val="00AC6C3F"/>
    <w:rsid w:val="00AD293D"/>
    <w:rsid w:val="00AD472B"/>
    <w:rsid w:val="00AD51DC"/>
    <w:rsid w:val="00AD51FC"/>
    <w:rsid w:val="00AD58CA"/>
    <w:rsid w:val="00AD5987"/>
    <w:rsid w:val="00AD6325"/>
    <w:rsid w:val="00AD6DFC"/>
    <w:rsid w:val="00AE0C3D"/>
    <w:rsid w:val="00AE149D"/>
    <w:rsid w:val="00AE1CFF"/>
    <w:rsid w:val="00AE1DB0"/>
    <w:rsid w:val="00AE3B36"/>
    <w:rsid w:val="00AE3E4D"/>
    <w:rsid w:val="00AE4C86"/>
    <w:rsid w:val="00AE4CE3"/>
    <w:rsid w:val="00AE698F"/>
    <w:rsid w:val="00AE6CE0"/>
    <w:rsid w:val="00AE75B4"/>
    <w:rsid w:val="00AF1161"/>
    <w:rsid w:val="00AF158D"/>
    <w:rsid w:val="00AF2526"/>
    <w:rsid w:val="00AF284F"/>
    <w:rsid w:val="00AF3E89"/>
    <w:rsid w:val="00AF4B15"/>
    <w:rsid w:val="00AF4E9B"/>
    <w:rsid w:val="00AF57FE"/>
    <w:rsid w:val="00AF5AD3"/>
    <w:rsid w:val="00AF5B29"/>
    <w:rsid w:val="00AF5BFD"/>
    <w:rsid w:val="00AF6F8B"/>
    <w:rsid w:val="00B01469"/>
    <w:rsid w:val="00B02F60"/>
    <w:rsid w:val="00B03296"/>
    <w:rsid w:val="00B03F04"/>
    <w:rsid w:val="00B03F56"/>
    <w:rsid w:val="00B047A5"/>
    <w:rsid w:val="00B04938"/>
    <w:rsid w:val="00B04D9C"/>
    <w:rsid w:val="00B14240"/>
    <w:rsid w:val="00B14B38"/>
    <w:rsid w:val="00B20E1A"/>
    <w:rsid w:val="00B223A4"/>
    <w:rsid w:val="00B224C6"/>
    <w:rsid w:val="00B23228"/>
    <w:rsid w:val="00B23B92"/>
    <w:rsid w:val="00B253A9"/>
    <w:rsid w:val="00B27423"/>
    <w:rsid w:val="00B27BC4"/>
    <w:rsid w:val="00B27E63"/>
    <w:rsid w:val="00B27F9C"/>
    <w:rsid w:val="00B3008E"/>
    <w:rsid w:val="00B30203"/>
    <w:rsid w:val="00B308BE"/>
    <w:rsid w:val="00B31C56"/>
    <w:rsid w:val="00B322FB"/>
    <w:rsid w:val="00B329FE"/>
    <w:rsid w:val="00B32EC8"/>
    <w:rsid w:val="00B33635"/>
    <w:rsid w:val="00B34CB7"/>
    <w:rsid w:val="00B35480"/>
    <w:rsid w:val="00B355B3"/>
    <w:rsid w:val="00B360E1"/>
    <w:rsid w:val="00B3632D"/>
    <w:rsid w:val="00B36612"/>
    <w:rsid w:val="00B37B17"/>
    <w:rsid w:val="00B41A73"/>
    <w:rsid w:val="00B41BEB"/>
    <w:rsid w:val="00B4277A"/>
    <w:rsid w:val="00B42969"/>
    <w:rsid w:val="00B42AEA"/>
    <w:rsid w:val="00B42C4F"/>
    <w:rsid w:val="00B43B92"/>
    <w:rsid w:val="00B44D97"/>
    <w:rsid w:val="00B45709"/>
    <w:rsid w:val="00B45DE4"/>
    <w:rsid w:val="00B464B6"/>
    <w:rsid w:val="00B46878"/>
    <w:rsid w:val="00B46982"/>
    <w:rsid w:val="00B469A0"/>
    <w:rsid w:val="00B46A8B"/>
    <w:rsid w:val="00B46C0D"/>
    <w:rsid w:val="00B46CBD"/>
    <w:rsid w:val="00B501E6"/>
    <w:rsid w:val="00B51068"/>
    <w:rsid w:val="00B5163A"/>
    <w:rsid w:val="00B51B21"/>
    <w:rsid w:val="00B51C69"/>
    <w:rsid w:val="00B52E9A"/>
    <w:rsid w:val="00B54A8D"/>
    <w:rsid w:val="00B5793C"/>
    <w:rsid w:val="00B612F4"/>
    <w:rsid w:val="00B61C14"/>
    <w:rsid w:val="00B642EF"/>
    <w:rsid w:val="00B6484A"/>
    <w:rsid w:val="00B65B57"/>
    <w:rsid w:val="00B66499"/>
    <w:rsid w:val="00B66502"/>
    <w:rsid w:val="00B67D6F"/>
    <w:rsid w:val="00B7073B"/>
    <w:rsid w:val="00B71011"/>
    <w:rsid w:val="00B71453"/>
    <w:rsid w:val="00B721BA"/>
    <w:rsid w:val="00B735A9"/>
    <w:rsid w:val="00B736C7"/>
    <w:rsid w:val="00B7556B"/>
    <w:rsid w:val="00B7576C"/>
    <w:rsid w:val="00B75901"/>
    <w:rsid w:val="00B7619A"/>
    <w:rsid w:val="00B761D7"/>
    <w:rsid w:val="00B767B0"/>
    <w:rsid w:val="00B81816"/>
    <w:rsid w:val="00B81897"/>
    <w:rsid w:val="00B81914"/>
    <w:rsid w:val="00B8352E"/>
    <w:rsid w:val="00B83AD7"/>
    <w:rsid w:val="00B83D1F"/>
    <w:rsid w:val="00B84171"/>
    <w:rsid w:val="00B84446"/>
    <w:rsid w:val="00B84BAA"/>
    <w:rsid w:val="00B86641"/>
    <w:rsid w:val="00B86804"/>
    <w:rsid w:val="00B877A6"/>
    <w:rsid w:val="00B90566"/>
    <w:rsid w:val="00B90CCA"/>
    <w:rsid w:val="00B94B41"/>
    <w:rsid w:val="00B95038"/>
    <w:rsid w:val="00B95747"/>
    <w:rsid w:val="00B95C43"/>
    <w:rsid w:val="00B95DD6"/>
    <w:rsid w:val="00B9627A"/>
    <w:rsid w:val="00BA0E6A"/>
    <w:rsid w:val="00BA1578"/>
    <w:rsid w:val="00BA252C"/>
    <w:rsid w:val="00BA27B1"/>
    <w:rsid w:val="00BA45AC"/>
    <w:rsid w:val="00BA48D3"/>
    <w:rsid w:val="00BA5770"/>
    <w:rsid w:val="00BA5BBE"/>
    <w:rsid w:val="00BA6E01"/>
    <w:rsid w:val="00BB03B7"/>
    <w:rsid w:val="00BB0F8C"/>
    <w:rsid w:val="00BB1783"/>
    <w:rsid w:val="00BB21CE"/>
    <w:rsid w:val="00BB3483"/>
    <w:rsid w:val="00BB5BD3"/>
    <w:rsid w:val="00BB72EF"/>
    <w:rsid w:val="00BB7FF3"/>
    <w:rsid w:val="00BC0205"/>
    <w:rsid w:val="00BC04E2"/>
    <w:rsid w:val="00BC1C8E"/>
    <w:rsid w:val="00BC1CFE"/>
    <w:rsid w:val="00BC3546"/>
    <w:rsid w:val="00BC533D"/>
    <w:rsid w:val="00BC6E22"/>
    <w:rsid w:val="00BC7F16"/>
    <w:rsid w:val="00BD2021"/>
    <w:rsid w:val="00BD233F"/>
    <w:rsid w:val="00BD30D6"/>
    <w:rsid w:val="00BD7504"/>
    <w:rsid w:val="00BE11E8"/>
    <w:rsid w:val="00BE1E41"/>
    <w:rsid w:val="00BE30AB"/>
    <w:rsid w:val="00BE36CB"/>
    <w:rsid w:val="00BE4AEA"/>
    <w:rsid w:val="00BE4F69"/>
    <w:rsid w:val="00BE590C"/>
    <w:rsid w:val="00BE5D70"/>
    <w:rsid w:val="00BE6AD4"/>
    <w:rsid w:val="00BE6D48"/>
    <w:rsid w:val="00BE6E4B"/>
    <w:rsid w:val="00BE6F3A"/>
    <w:rsid w:val="00BE7217"/>
    <w:rsid w:val="00BE73B9"/>
    <w:rsid w:val="00BF0589"/>
    <w:rsid w:val="00BF1A81"/>
    <w:rsid w:val="00BF2B83"/>
    <w:rsid w:val="00BF35FD"/>
    <w:rsid w:val="00BF3B8E"/>
    <w:rsid w:val="00BF4E29"/>
    <w:rsid w:val="00BF5BD7"/>
    <w:rsid w:val="00BF5F67"/>
    <w:rsid w:val="00BF614C"/>
    <w:rsid w:val="00C0064C"/>
    <w:rsid w:val="00C015B2"/>
    <w:rsid w:val="00C020CC"/>
    <w:rsid w:val="00C02491"/>
    <w:rsid w:val="00C0365C"/>
    <w:rsid w:val="00C041A1"/>
    <w:rsid w:val="00C05B0B"/>
    <w:rsid w:val="00C05D49"/>
    <w:rsid w:val="00C07F60"/>
    <w:rsid w:val="00C1060C"/>
    <w:rsid w:val="00C10FD7"/>
    <w:rsid w:val="00C1159A"/>
    <w:rsid w:val="00C12E8D"/>
    <w:rsid w:val="00C142E6"/>
    <w:rsid w:val="00C1461A"/>
    <w:rsid w:val="00C14D29"/>
    <w:rsid w:val="00C17051"/>
    <w:rsid w:val="00C179BE"/>
    <w:rsid w:val="00C17B5C"/>
    <w:rsid w:val="00C205EE"/>
    <w:rsid w:val="00C20AC1"/>
    <w:rsid w:val="00C20DC5"/>
    <w:rsid w:val="00C222B7"/>
    <w:rsid w:val="00C22990"/>
    <w:rsid w:val="00C22FCF"/>
    <w:rsid w:val="00C23301"/>
    <w:rsid w:val="00C23806"/>
    <w:rsid w:val="00C25E04"/>
    <w:rsid w:val="00C309B7"/>
    <w:rsid w:val="00C3146E"/>
    <w:rsid w:val="00C314D3"/>
    <w:rsid w:val="00C32836"/>
    <w:rsid w:val="00C3360E"/>
    <w:rsid w:val="00C33E91"/>
    <w:rsid w:val="00C34833"/>
    <w:rsid w:val="00C35728"/>
    <w:rsid w:val="00C35FF9"/>
    <w:rsid w:val="00C41889"/>
    <w:rsid w:val="00C41AE9"/>
    <w:rsid w:val="00C4249D"/>
    <w:rsid w:val="00C4270E"/>
    <w:rsid w:val="00C43654"/>
    <w:rsid w:val="00C436F2"/>
    <w:rsid w:val="00C43DE5"/>
    <w:rsid w:val="00C43F12"/>
    <w:rsid w:val="00C44941"/>
    <w:rsid w:val="00C45600"/>
    <w:rsid w:val="00C471A3"/>
    <w:rsid w:val="00C47C8F"/>
    <w:rsid w:val="00C51AFB"/>
    <w:rsid w:val="00C521D0"/>
    <w:rsid w:val="00C5530C"/>
    <w:rsid w:val="00C56592"/>
    <w:rsid w:val="00C603BC"/>
    <w:rsid w:val="00C60B93"/>
    <w:rsid w:val="00C60F91"/>
    <w:rsid w:val="00C62183"/>
    <w:rsid w:val="00C623C8"/>
    <w:rsid w:val="00C62D72"/>
    <w:rsid w:val="00C63862"/>
    <w:rsid w:val="00C64853"/>
    <w:rsid w:val="00C6587A"/>
    <w:rsid w:val="00C66D6C"/>
    <w:rsid w:val="00C70FD9"/>
    <w:rsid w:val="00C71901"/>
    <w:rsid w:val="00C719AD"/>
    <w:rsid w:val="00C71A83"/>
    <w:rsid w:val="00C7222E"/>
    <w:rsid w:val="00C727B9"/>
    <w:rsid w:val="00C73B5E"/>
    <w:rsid w:val="00C743EB"/>
    <w:rsid w:val="00C764A0"/>
    <w:rsid w:val="00C77188"/>
    <w:rsid w:val="00C80F6B"/>
    <w:rsid w:val="00C81A64"/>
    <w:rsid w:val="00C82437"/>
    <w:rsid w:val="00C82F79"/>
    <w:rsid w:val="00C83079"/>
    <w:rsid w:val="00C83ED0"/>
    <w:rsid w:val="00C85F97"/>
    <w:rsid w:val="00C8603E"/>
    <w:rsid w:val="00C87A8A"/>
    <w:rsid w:val="00C87B4C"/>
    <w:rsid w:val="00C87F8E"/>
    <w:rsid w:val="00C91563"/>
    <w:rsid w:val="00C91E8F"/>
    <w:rsid w:val="00C9335E"/>
    <w:rsid w:val="00C96485"/>
    <w:rsid w:val="00CA221F"/>
    <w:rsid w:val="00CA2479"/>
    <w:rsid w:val="00CA2DBE"/>
    <w:rsid w:val="00CA2E1D"/>
    <w:rsid w:val="00CA50BE"/>
    <w:rsid w:val="00CA5B48"/>
    <w:rsid w:val="00CA5E60"/>
    <w:rsid w:val="00CA63BB"/>
    <w:rsid w:val="00CA6AE3"/>
    <w:rsid w:val="00CA76BD"/>
    <w:rsid w:val="00CB08D1"/>
    <w:rsid w:val="00CB0E4A"/>
    <w:rsid w:val="00CB24CD"/>
    <w:rsid w:val="00CB433B"/>
    <w:rsid w:val="00CB4B98"/>
    <w:rsid w:val="00CB4CB5"/>
    <w:rsid w:val="00CB4D07"/>
    <w:rsid w:val="00CB4D94"/>
    <w:rsid w:val="00CB714F"/>
    <w:rsid w:val="00CB7A58"/>
    <w:rsid w:val="00CC0D33"/>
    <w:rsid w:val="00CC0D94"/>
    <w:rsid w:val="00CC24BE"/>
    <w:rsid w:val="00CC2E89"/>
    <w:rsid w:val="00CC46E3"/>
    <w:rsid w:val="00CC46FD"/>
    <w:rsid w:val="00CC4CF5"/>
    <w:rsid w:val="00CC6209"/>
    <w:rsid w:val="00CC6BB0"/>
    <w:rsid w:val="00CC6D44"/>
    <w:rsid w:val="00CD0EE3"/>
    <w:rsid w:val="00CD11DE"/>
    <w:rsid w:val="00CD1779"/>
    <w:rsid w:val="00CD202F"/>
    <w:rsid w:val="00CD2762"/>
    <w:rsid w:val="00CD4558"/>
    <w:rsid w:val="00CE10B4"/>
    <w:rsid w:val="00CE1692"/>
    <w:rsid w:val="00CE32E0"/>
    <w:rsid w:val="00CE54B2"/>
    <w:rsid w:val="00CE5F35"/>
    <w:rsid w:val="00CE6785"/>
    <w:rsid w:val="00CE7F70"/>
    <w:rsid w:val="00CF0B35"/>
    <w:rsid w:val="00CF2487"/>
    <w:rsid w:val="00CF271B"/>
    <w:rsid w:val="00CF2F9B"/>
    <w:rsid w:val="00CF4025"/>
    <w:rsid w:val="00CF4144"/>
    <w:rsid w:val="00CF59C6"/>
    <w:rsid w:val="00CF728A"/>
    <w:rsid w:val="00D00BA6"/>
    <w:rsid w:val="00D00CA8"/>
    <w:rsid w:val="00D02343"/>
    <w:rsid w:val="00D02827"/>
    <w:rsid w:val="00D0339A"/>
    <w:rsid w:val="00D038D5"/>
    <w:rsid w:val="00D05269"/>
    <w:rsid w:val="00D0638A"/>
    <w:rsid w:val="00D06734"/>
    <w:rsid w:val="00D100D0"/>
    <w:rsid w:val="00D10457"/>
    <w:rsid w:val="00D123E7"/>
    <w:rsid w:val="00D13397"/>
    <w:rsid w:val="00D15B08"/>
    <w:rsid w:val="00D15CE1"/>
    <w:rsid w:val="00D1720C"/>
    <w:rsid w:val="00D17885"/>
    <w:rsid w:val="00D17F2F"/>
    <w:rsid w:val="00D20DBF"/>
    <w:rsid w:val="00D20F9D"/>
    <w:rsid w:val="00D22E3F"/>
    <w:rsid w:val="00D23463"/>
    <w:rsid w:val="00D25015"/>
    <w:rsid w:val="00D265A9"/>
    <w:rsid w:val="00D3051A"/>
    <w:rsid w:val="00D30D6B"/>
    <w:rsid w:val="00D30EF5"/>
    <w:rsid w:val="00D3158C"/>
    <w:rsid w:val="00D330CA"/>
    <w:rsid w:val="00D3311C"/>
    <w:rsid w:val="00D33E77"/>
    <w:rsid w:val="00D3403C"/>
    <w:rsid w:val="00D34A09"/>
    <w:rsid w:val="00D36AD0"/>
    <w:rsid w:val="00D375CB"/>
    <w:rsid w:val="00D41C58"/>
    <w:rsid w:val="00D424A6"/>
    <w:rsid w:val="00D42894"/>
    <w:rsid w:val="00D445BB"/>
    <w:rsid w:val="00D44DCE"/>
    <w:rsid w:val="00D44E05"/>
    <w:rsid w:val="00D45655"/>
    <w:rsid w:val="00D46E12"/>
    <w:rsid w:val="00D47246"/>
    <w:rsid w:val="00D47AA0"/>
    <w:rsid w:val="00D50117"/>
    <w:rsid w:val="00D51F2C"/>
    <w:rsid w:val="00D563D8"/>
    <w:rsid w:val="00D567C3"/>
    <w:rsid w:val="00D602BC"/>
    <w:rsid w:val="00D61DA7"/>
    <w:rsid w:val="00D62226"/>
    <w:rsid w:val="00D62913"/>
    <w:rsid w:val="00D63446"/>
    <w:rsid w:val="00D64EC0"/>
    <w:rsid w:val="00D654D6"/>
    <w:rsid w:val="00D66317"/>
    <w:rsid w:val="00D66462"/>
    <w:rsid w:val="00D70D5D"/>
    <w:rsid w:val="00D722C9"/>
    <w:rsid w:val="00D729B9"/>
    <w:rsid w:val="00D72FAA"/>
    <w:rsid w:val="00D7364E"/>
    <w:rsid w:val="00D7417B"/>
    <w:rsid w:val="00D75911"/>
    <w:rsid w:val="00D75B60"/>
    <w:rsid w:val="00D776AF"/>
    <w:rsid w:val="00D77BC6"/>
    <w:rsid w:val="00D81F22"/>
    <w:rsid w:val="00D82858"/>
    <w:rsid w:val="00D82B90"/>
    <w:rsid w:val="00D85568"/>
    <w:rsid w:val="00D86B4A"/>
    <w:rsid w:val="00D8766A"/>
    <w:rsid w:val="00D90039"/>
    <w:rsid w:val="00D90570"/>
    <w:rsid w:val="00D92D07"/>
    <w:rsid w:val="00D939D3"/>
    <w:rsid w:val="00D94DDF"/>
    <w:rsid w:val="00D96F2A"/>
    <w:rsid w:val="00D97830"/>
    <w:rsid w:val="00D97EA3"/>
    <w:rsid w:val="00DA00CE"/>
    <w:rsid w:val="00DA1B98"/>
    <w:rsid w:val="00DA1C0A"/>
    <w:rsid w:val="00DA2D40"/>
    <w:rsid w:val="00DA3246"/>
    <w:rsid w:val="00DA3DAF"/>
    <w:rsid w:val="00DA5D15"/>
    <w:rsid w:val="00DA6F38"/>
    <w:rsid w:val="00DA7EB1"/>
    <w:rsid w:val="00DB1522"/>
    <w:rsid w:val="00DB181B"/>
    <w:rsid w:val="00DB1CB8"/>
    <w:rsid w:val="00DB2769"/>
    <w:rsid w:val="00DB2C8C"/>
    <w:rsid w:val="00DB3DC2"/>
    <w:rsid w:val="00DC15B7"/>
    <w:rsid w:val="00DC3095"/>
    <w:rsid w:val="00DC3EBE"/>
    <w:rsid w:val="00DC4930"/>
    <w:rsid w:val="00DC55B2"/>
    <w:rsid w:val="00DC6116"/>
    <w:rsid w:val="00DC6AB2"/>
    <w:rsid w:val="00DC6BAE"/>
    <w:rsid w:val="00DC75E8"/>
    <w:rsid w:val="00DD29D2"/>
    <w:rsid w:val="00DD2E96"/>
    <w:rsid w:val="00DD3AE0"/>
    <w:rsid w:val="00DD5EE9"/>
    <w:rsid w:val="00DE01F3"/>
    <w:rsid w:val="00DE034B"/>
    <w:rsid w:val="00DE04C9"/>
    <w:rsid w:val="00DE2D04"/>
    <w:rsid w:val="00DE4174"/>
    <w:rsid w:val="00DE62B3"/>
    <w:rsid w:val="00DE64B0"/>
    <w:rsid w:val="00DE7231"/>
    <w:rsid w:val="00DE76D0"/>
    <w:rsid w:val="00DF0CBD"/>
    <w:rsid w:val="00DF1455"/>
    <w:rsid w:val="00DF21C0"/>
    <w:rsid w:val="00DF235D"/>
    <w:rsid w:val="00DF2946"/>
    <w:rsid w:val="00DF3CA3"/>
    <w:rsid w:val="00DF3DD4"/>
    <w:rsid w:val="00DF594D"/>
    <w:rsid w:val="00E00721"/>
    <w:rsid w:val="00E01DB6"/>
    <w:rsid w:val="00E01DF1"/>
    <w:rsid w:val="00E02C65"/>
    <w:rsid w:val="00E0340D"/>
    <w:rsid w:val="00E047D1"/>
    <w:rsid w:val="00E049CE"/>
    <w:rsid w:val="00E04F85"/>
    <w:rsid w:val="00E05A7B"/>
    <w:rsid w:val="00E05F2D"/>
    <w:rsid w:val="00E0624D"/>
    <w:rsid w:val="00E100C1"/>
    <w:rsid w:val="00E10127"/>
    <w:rsid w:val="00E10F1E"/>
    <w:rsid w:val="00E12B04"/>
    <w:rsid w:val="00E13253"/>
    <w:rsid w:val="00E13D97"/>
    <w:rsid w:val="00E14289"/>
    <w:rsid w:val="00E15941"/>
    <w:rsid w:val="00E15B44"/>
    <w:rsid w:val="00E15EBE"/>
    <w:rsid w:val="00E16044"/>
    <w:rsid w:val="00E215AA"/>
    <w:rsid w:val="00E23204"/>
    <w:rsid w:val="00E25E6B"/>
    <w:rsid w:val="00E26AB2"/>
    <w:rsid w:val="00E26B3A"/>
    <w:rsid w:val="00E26B96"/>
    <w:rsid w:val="00E27CBD"/>
    <w:rsid w:val="00E27F86"/>
    <w:rsid w:val="00E32637"/>
    <w:rsid w:val="00E32C8F"/>
    <w:rsid w:val="00E3304E"/>
    <w:rsid w:val="00E330DC"/>
    <w:rsid w:val="00E35B97"/>
    <w:rsid w:val="00E366EB"/>
    <w:rsid w:val="00E41CA1"/>
    <w:rsid w:val="00E44AC5"/>
    <w:rsid w:val="00E4686B"/>
    <w:rsid w:val="00E47BA1"/>
    <w:rsid w:val="00E51DE4"/>
    <w:rsid w:val="00E51FFD"/>
    <w:rsid w:val="00E525D9"/>
    <w:rsid w:val="00E54087"/>
    <w:rsid w:val="00E54D2A"/>
    <w:rsid w:val="00E54F09"/>
    <w:rsid w:val="00E55847"/>
    <w:rsid w:val="00E56668"/>
    <w:rsid w:val="00E57127"/>
    <w:rsid w:val="00E5723E"/>
    <w:rsid w:val="00E57D22"/>
    <w:rsid w:val="00E60047"/>
    <w:rsid w:val="00E60ED6"/>
    <w:rsid w:val="00E60F50"/>
    <w:rsid w:val="00E6237A"/>
    <w:rsid w:val="00E64DD5"/>
    <w:rsid w:val="00E65247"/>
    <w:rsid w:val="00E6609F"/>
    <w:rsid w:val="00E6686D"/>
    <w:rsid w:val="00E678F0"/>
    <w:rsid w:val="00E71BBB"/>
    <w:rsid w:val="00E72028"/>
    <w:rsid w:val="00E72415"/>
    <w:rsid w:val="00E73EF3"/>
    <w:rsid w:val="00E7545B"/>
    <w:rsid w:val="00E763C2"/>
    <w:rsid w:val="00E770F5"/>
    <w:rsid w:val="00E80B2E"/>
    <w:rsid w:val="00E8202B"/>
    <w:rsid w:val="00E83C42"/>
    <w:rsid w:val="00E8427E"/>
    <w:rsid w:val="00E8615C"/>
    <w:rsid w:val="00E86878"/>
    <w:rsid w:val="00E86A4A"/>
    <w:rsid w:val="00E87081"/>
    <w:rsid w:val="00E872DF"/>
    <w:rsid w:val="00E877FD"/>
    <w:rsid w:val="00E87E29"/>
    <w:rsid w:val="00E91571"/>
    <w:rsid w:val="00E91B39"/>
    <w:rsid w:val="00E91C98"/>
    <w:rsid w:val="00E91DEC"/>
    <w:rsid w:val="00E91F19"/>
    <w:rsid w:val="00E9501E"/>
    <w:rsid w:val="00E959F8"/>
    <w:rsid w:val="00E969B9"/>
    <w:rsid w:val="00E96B63"/>
    <w:rsid w:val="00E96D42"/>
    <w:rsid w:val="00E96DE7"/>
    <w:rsid w:val="00E97204"/>
    <w:rsid w:val="00EA254A"/>
    <w:rsid w:val="00EA5031"/>
    <w:rsid w:val="00EA6A01"/>
    <w:rsid w:val="00EA6A6B"/>
    <w:rsid w:val="00EA7A76"/>
    <w:rsid w:val="00EB2290"/>
    <w:rsid w:val="00EB6761"/>
    <w:rsid w:val="00EC06B5"/>
    <w:rsid w:val="00EC1B8A"/>
    <w:rsid w:val="00EC1C9D"/>
    <w:rsid w:val="00EC1FFB"/>
    <w:rsid w:val="00EC2367"/>
    <w:rsid w:val="00EC2778"/>
    <w:rsid w:val="00EC2893"/>
    <w:rsid w:val="00EC4672"/>
    <w:rsid w:val="00EC4A17"/>
    <w:rsid w:val="00EC5385"/>
    <w:rsid w:val="00EC5860"/>
    <w:rsid w:val="00EC6977"/>
    <w:rsid w:val="00EC6D7D"/>
    <w:rsid w:val="00ED05D9"/>
    <w:rsid w:val="00ED21B2"/>
    <w:rsid w:val="00ED4289"/>
    <w:rsid w:val="00ED51C3"/>
    <w:rsid w:val="00ED53E1"/>
    <w:rsid w:val="00ED5C4A"/>
    <w:rsid w:val="00EE014A"/>
    <w:rsid w:val="00EE04EA"/>
    <w:rsid w:val="00EE10EF"/>
    <w:rsid w:val="00EE1618"/>
    <w:rsid w:val="00EE1C6D"/>
    <w:rsid w:val="00EE1D8F"/>
    <w:rsid w:val="00EE28C4"/>
    <w:rsid w:val="00EE2D7F"/>
    <w:rsid w:val="00EE3364"/>
    <w:rsid w:val="00EE5251"/>
    <w:rsid w:val="00EE582D"/>
    <w:rsid w:val="00EE751C"/>
    <w:rsid w:val="00EE756E"/>
    <w:rsid w:val="00EE7E81"/>
    <w:rsid w:val="00EF0153"/>
    <w:rsid w:val="00EF0271"/>
    <w:rsid w:val="00EF0742"/>
    <w:rsid w:val="00EF1F93"/>
    <w:rsid w:val="00EF2ED5"/>
    <w:rsid w:val="00EF666C"/>
    <w:rsid w:val="00EF7E23"/>
    <w:rsid w:val="00F00350"/>
    <w:rsid w:val="00F00F33"/>
    <w:rsid w:val="00F01A1E"/>
    <w:rsid w:val="00F056AC"/>
    <w:rsid w:val="00F058EF"/>
    <w:rsid w:val="00F05903"/>
    <w:rsid w:val="00F05B68"/>
    <w:rsid w:val="00F06100"/>
    <w:rsid w:val="00F06CBB"/>
    <w:rsid w:val="00F06EAE"/>
    <w:rsid w:val="00F07868"/>
    <w:rsid w:val="00F07B6E"/>
    <w:rsid w:val="00F12CDD"/>
    <w:rsid w:val="00F12F54"/>
    <w:rsid w:val="00F136C5"/>
    <w:rsid w:val="00F155CF"/>
    <w:rsid w:val="00F15FF9"/>
    <w:rsid w:val="00F1698E"/>
    <w:rsid w:val="00F16999"/>
    <w:rsid w:val="00F20052"/>
    <w:rsid w:val="00F20ADF"/>
    <w:rsid w:val="00F22F02"/>
    <w:rsid w:val="00F24593"/>
    <w:rsid w:val="00F260C3"/>
    <w:rsid w:val="00F30CB9"/>
    <w:rsid w:val="00F31E24"/>
    <w:rsid w:val="00F31EEA"/>
    <w:rsid w:val="00F329AA"/>
    <w:rsid w:val="00F334CB"/>
    <w:rsid w:val="00F35E6F"/>
    <w:rsid w:val="00F36FAD"/>
    <w:rsid w:val="00F37519"/>
    <w:rsid w:val="00F4003E"/>
    <w:rsid w:val="00F4057A"/>
    <w:rsid w:val="00F4098A"/>
    <w:rsid w:val="00F42330"/>
    <w:rsid w:val="00F42DCF"/>
    <w:rsid w:val="00F44FE1"/>
    <w:rsid w:val="00F45220"/>
    <w:rsid w:val="00F456AB"/>
    <w:rsid w:val="00F46655"/>
    <w:rsid w:val="00F477FF"/>
    <w:rsid w:val="00F5029C"/>
    <w:rsid w:val="00F51AA0"/>
    <w:rsid w:val="00F53546"/>
    <w:rsid w:val="00F5382E"/>
    <w:rsid w:val="00F53F4E"/>
    <w:rsid w:val="00F5487E"/>
    <w:rsid w:val="00F56035"/>
    <w:rsid w:val="00F567B5"/>
    <w:rsid w:val="00F57629"/>
    <w:rsid w:val="00F62253"/>
    <w:rsid w:val="00F63C0D"/>
    <w:rsid w:val="00F65CC5"/>
    <w:rsid w:val="00F663D1"/>
    <w:rsid w:val="00F67BBA"/>
    <w:rsid w:val="00F67C64"/>
    <w:rsid w:val="00F713D5"/>
    <w:rsid w:val="00F71CB0"/>
    <w:rsid w:val="00F72013"/>
    <w:rsid w:val="00F728ED"/>
    <w:rsid w:val="00F74219"/>
    <w:rsid w:val="00F76BAC"/>
    <w:rsid w:val="00F8005B"/>
    <w:rsid w:val="00F812FC"/>
    <w:rsid w:val="00F82216"/>
    <w:rsid w:val="00F8266F"/>
    <w:rsid w:val="00F826F8"/>
    <w:rsid w:val="00F83B29"/>
    <w:rsid w:val="00F84096"/>
    <w:rsid w:val="00F84116"/>
    <w:rsid w:val="00F856FB"/>
    <w:rsid w:val="00F86210"/>
    <w:rsid w:val="00F8641E"/>
    <w:rsid w:val="00F87338"/>
    <w:rsid w:val="00F9025A"/>
    <w:rsid w:val="00F914E4"/>
    <w:rsid w:val="00F91976"/>
    <w:rsid w:val="00F9229B"/>
    <w:rsid w:val="00F92817"/>
    <w:rsid w:val="00F948CB"/>
    <w:rsid w:val="00F955B2"/>
    <w:rsid w:val="00F966E5"/>
    <w:rsid w:val="00F9782E"/>
    <w:rsid w:val="00FA10DC"/>
    <w:rsid w:val="00FA141E"/>
    <w:rsid w:val="00FA1626"/>
    <w:rsid w:val="00FA2AD3"/>
    <w:rsid w:val="00FA3667"/>
    <w:rsid w:val="00FA48A3"/>
    <w:rsid w:val="00FA51A1"/>
    <w:rsid w:val="00FA5273"/>
    <w:rsid w:val="00FA60B9"/>
    <w:rsid w:val="00FB7952"/>
    <w:rsid w:val="00FC2797"/>
    <w:rsid w:val="00FC2E12"/>
    <w:rsid w:val="00FC2F0C"/>
    <w:rsid w:val="00FC378D"/>
    <w:rsid w:val="00FC53ED"/>
    <w:rsid w:val="00FC5526"/>
    <w:rsid w:val="00FC5C00"/>
    <w:rsid w:val="00FC6794"/>
    <w:rsid w:val="00FC7D3C"/>
    <w:rsid w:val="00FD015C"/>
    <w:rsid w:val="00FD3163"/>
    <w:rsid w:val="00FD3E0A"/>
    <w:rsid w:val="00FD574F"/>
    <w:rsid w:val="00FD5ACB"/>
    <w:rsid w:val="00FD5BA2"/>
    <w:rsid w:val="00FD7124"/>
    <w:rsid w:val="00FD721E"/>
    <w:rsid w:val="00FD7E04"/>
    <w:rsid w:val="00FE0F93"/>
    <w:rsid w:val="00FE104F"/>
    <w:rsid w:val="00FE21B8"/>
    <w:rsid w:val="00FE29A9"/>
    <w:rsid w:val="00FE34E0"/>
    <w:rsid w:val="00FE65F7"/>
    <w:rsid w:val="00FE6B88"/>
    <w:rsid w:val="00FE7797"/>
    <w:rsid w:val="00FF3900"/>
    <w:rsid w:val="00FF3FBA"/>
    <w:rsid w:val="00FF5C81"/>
    <w:rsid w:val="00FF7E75"/>
    <w:rsid w:val="17549C27"/>
    <w:rsid w:val="353AD19C"/>
    <w:rsid w:val="505614FD"/>
    <w:rsid w:val="55EF73B2"/>
    <w:rsid w:val="5EB8282C"/>
    <w:rsid w:val="62E27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DCE1F"/>
  <w15:docId w15:val="{5A429C1D-3381-4F2E-93C9-69EE98D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7F"/>
    <w:pPr>
      <w:keepLines/>
      <w:spacing w:after="230" w:line="250" w:lineRule="auto"/>
      <w:jc w:val="both"/>
    </w:pPr>
    <w:rPr>
      <w:rFonts w:ascii="Arial" w:eastAsia="Arial" w:hAnsi="Arial" w:cs="Arial"/>
      <w:color w:val="000000"/>
      <w:lang w:val="en-GB"/>
    </w:rPr>
  </w:style>
  <w:style w:type="paragraph" w:styleId="Heading1">
    <w:name w:val="heading 1"/>
    <w:next w:val="Normal"/>
    <w:link w:val="Heading1Char"/>
    <w:autoRedefine/>
    <w:uiPriority w:val="9"/>
    <w:unhideWhenUsed/>
    <w:qFormat/>
    <w:rsid w:val="00285B0B"/>
    <w:pPr>
      <w:keepNext/>
      <w:keepLines/>
      <w:tabs>
        <w:tab w:val="center" w:pos="1234"/>
      </w:tabs>
      <w:spacing w:after="205"/>
      <w:outlineLvl w:val="0"/>
    </w:pPr>
    <w:rPr>
      <w:rFonts w:ascii="Frutiger LT Std 45 Light" w:eastAsia="Arial" w:hAnsi="Frutiger LT Std 45 Light" w:cs="Arial"/>
      <w:b/>
      <w:color w:val="000000"/>
      <w:sz w:val="32"/>
      <w:szCs w:val="32"/>
    </w:rPr>
  </w:style>
  <w:style w:type="paragraph" w:styleId="Heading2">
    <w:name w:val="heading 2"/>
    <w:next w:val="Normal"/>
    <w:link w:val="Heading2Char"/>
    <w:autoRedefine/>
    <w:uiPriority w:val="9"/>
    <w:unhideWhenUsed/>
    <w:qFormat/>
    <w:rsid w:val="0023179E"/>
    <w:pPr>
      <w:keepNext/>
      <w:keepLines/>
      <w:numPr>
        <w:ilvl w:val="1"/>
        <w:numId w:val="1"/>
      </w:numPr>
      <w:tabs>
        <w:tab w:val="center" w:pos="1141"/>
      </w:tabs>
      <w:spacing w:after="222"/>
      <w:jc w:val="both"/>
      <w:outlineLvl w:val="1"/>
    </w:pPr>
    <w:rPr>
      <w:rFonts w:ascii="Arial" w:eastAsia="Arial" w:hAnsi="Arial" w:cs="Arial"/>
      <w:b/>
      <w:color w:val="000000"/>
      <w:sz w:val="20"/>
      <w:szCs w:val="20"/>
    </w:rPr>
  </w:style>
  <w:style w:type="paragraph" w:styleId="Heading3">
    <w:name w:val="heading 3"/>
    <w:next w:val="Normal"/>
    <w:link w:val="Heading3Char"/>
    <w:autoRedefine/>
    <w:uiPriority w:val="9"/>
    <w:unhideWhenUsed/>
    <w:qFormat/>
    <w:rsid w:val="00DC3EBE"/>
    <w:pPr>
      <w:keepNext/>
      <w:keepLines/>
      <w:spacing w:after="120"/>
      <w:outlineLvl w:val="2"/>
    </w:pPr>
    <w:rPr>
      <w:rFonts w:ascii="Arial" w:eastAsia="Arial" w:hAnsi="Arial" w:cs="Arial"/>
      <w:b/>
      <w:color w:val="000000"/>
      <w:sz w:val="20"/>
      <w:szCs w:val="20"/>
    </w:rPr>
  </w:style>
  <w:style w:type="paragraph" w:styleId="Heading4">
    <w:name w:val="heading 4"/>
    <w:basedOn w:val="Normal"/>
    <w:next w:val="Normal"/>
    <w:link w:val="Heading4Char"/>
    <w:uiPriority w:val="9"/>
    <w:semiHidden/>
    <w:unhideWhenUsed/>
    <w:qFormat/>
    <w:rsid w:val="00635C99"/>
    <w:pPr>
      <w:keepNext/>
      <w:numPr>
        <w:ilvl w:val="3"/>
        <w:numId w:val="1"/>
      </w:numPr>
      <w:spacing w:before="40" w:after="0"/>
      <w:outlineLvl w:val="3"/>
    </w:pPr>
    <w:rPr>
      <w:rFonts w:asciiTheme="majorHAnsi" w:eastAsiaTheme="majorEastAsia" w:hAnsiTheme="majorHAnsi" w:cstheme="majorBidi"/>
      <w:i/>
      <w:iCs/>
      <w:color w:val="0483A0" w:themeColor="accent1" w:themeShade="BF"/>
    </w:rPr>
  </w:style>
  <w:style w:type="paragraph" w:styleId="Heading5">
    <w:name w:val="heading 5"/>
    <w:basedOn w:val="Normal"/>
    <w:next w:val="Normal"/>
    <w:link w:val="Heading5Char"/>
    <w:uiPriority w:val="9"/>
    <w:semiHidden/>
    <w:unhideWhenUsed/>
    <w:qFormat/>
    <w:rsid w:val="00635C99"/>
    <w:pPr>
      <w:keepNext/>
      <w:numPr>
        <w:ilvl w:val="4"/>
        <w:numId w:val="1"/>
      </w:numPr>
      <w:spacing w:before="40" w:after="0"/>
      <w:outlineLvl w:val="4"/>
    </w:pPr>
    <w:rPr>
      <w:rFonts w:asciiTheme="majorHAnsi" w:eastAsiaTheme="majorEastAsia" w:hAnsiTheme="majorHAnsi" w:cstheme="majorBidi"/>
      <w:color w:val="0483A0" w:themeColor="accent1" w:themeShade="BF"/>
    </w:rPr>
  </w:style>
  <w:style w:type="paragraph" w:styleId="Heading6">
    <w:name w:val="heading 6"/>
    <w:basedOn w:val="Normal"/>
    <w:next w:val="Normal"/>
    <w:link w:val="Heading6Char"/>
    <w:uiPriority w:val="9"/>
    <w:semiHidden/>
    <w:unhideWhenUsed/>
    <w:qFormat/>
    <w:rsid w:val="00635C99"/>
    <w:pPr>
      <w:keepNext/>
      <w:numPr>
        <w:ilvl w:val="5"/>
        <w:numId w:val="1"/>
      </w:numPr>
      <w:spacing w:before="40" w:after="0"/>
      <w:outlineLvl w:val="5"/>
    </w:pPr>
    <w:rPr>
      <w:rFonts w:asciiTheme="majorHAnsi" w:eastAsiaTheme="majorEastAsia" w:hAnsiTheme="majorHAnsi" w:cstheme="majorBidi"/>
      <w:color w:val="03576A" w:themeColor="accent1" w:themeShade="7F"/>
    </w:rPr>
  </w:style>
  <w:style w:type="paragraph" w:styleId="Heading7">
    <w:name w:val="heading 7"/>
    <w:basedOn w:val="Normal"/>
    <w:next w:val="Normal"/>
    <w:link w:val="Heading7Char"/>
    <w:uiPriority w:val="9"/>
    <w:semiHidden/>
    <w:unhideWhenUsed/>
    <w:qFormat/>
    <w:rsid w:val="00635C99"/>
    <w:pPr>
      <w:keepNext/>
      <w:numPr>
        <w:ilvl w:val="6"/>
        <w:numId w:val="1"/>
      </w:numPr>
      <w:spacing w:before="40" w:after="0"/>
      <w:outlineLvl w:val="6"/>
    </w:pPr>
    <w:rPr>
      <w:rFonts w:asciiTheme="majorHAnsi" w:eastAsiaTheme="majorEastAsia" w:hAnsiTheme="majorHAnsi" w:cstheme="majorBidi"/>
      <w:i/>
      <w:iCs/>
      <w:color w:val="03576A" w:themeColor="accent1" w:themeShade="7F"/>
    </w:rPr>
  </w:style>
  <w:style w:type="paragraph" w:styleId="Heading8">
    <w:name w:val="heading 8"/>
    <w:basedOn w:val="Normal"/>
    <w:next w:val="Normal"/>
    <w:link w:val="Heading8Char"/>
    <w:uiPriority w:val="9"/>
    <w:semiHidden/>
    <w:unhideWhenUsed/>
    <w:qFormat/>
    <w:rsid w:val="00635C99"/>
    <w:pPr>
      <w:keepNext/>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C99"/>
    <w:pPr>
      <w:keepNext/>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5B0B"/>
    <w:rPr>
      <w:rFonts w:ascii="Frutiger LT Std 45 Light" w:eastAsia="Arial" w:hAnsi="Frutiger LT Std 45 Light" w:cs="Arial"/>
      <w:b/>
      <w:color w:val="000000"/>
      <w:sz w:val="32"/>
      <w:szCs w:val="32"/>
    </w:rPr>
  </w:style>
  <w:style w:type="character" w:customStyle="1" w:styleId="Heading2Char">
    <w:name w:val="Heading 2 Char"/>
    <w:link w:val="Heading2"/>
    <w:uiPriority w:val="9"/>
    <w:rsid w:val="0023179E"/>
    <w:rPr>
      <w:rFonts w:ascii="Arial" w:eastAsia="Arial" w:hAnsi="Arial" w:cs="Arial"/>
      <w:b/>
      <w:color w:val="000000"/>
      <w:sz w:val="20"/>
      <w:szCs w:val="20"/>
    </w:rPr>
  </w:style>
  <w:style w:type="character" w:customStyle="1" w:styleId="Heading3Char">
    <w:name w:val="Heading 3 Char"/>
    <w:link w:val="Heading3"/>
    <w:uiPriority w:val="9"/>
    <w:rsid w:val="00DC3EBE"/>
    <w:rPr>
      <w:rFonts w:ascii="Arial" w:eastAsia="Arial" w:hAnsi="Arial" w:cs="Arial"/>
      <w:b/>
      <w:color w:val="000000"/>
      <w:sz w:val="20"/>
      <w:szCs w:val="20"/>
    </w:rPr>
  </w:style>
  <w:style w:type="character" w:customStyle="1" w:styleId="Heading4Char">
    <w:name w:val="Heading 4 Char"/>
    <w:basedOn w:val="DefaultParagraphFont"/>
    <w:link w:val="Heading4"/>
    <w:uiPriority w:val="9"/>
    <w:semiHidden/>
    <w:rsid w:val="00635C99"/>
    <w:rPr>
      <w:rFonts w:asciiTheme="majorHAnsi" w:eastAsiaTheme="majorEastAsia" w:hAnsiTheme="majorHAnsi" w:cstheme="majorBidi"/>
      <w:i/>
      <w:iCs/>
      <w:color w:val="0483A0" w:themeColor="accent1" w:themeShade="BF"/>
      <w:lang w:val="en-GB"/>
    </w:rPr>
  </w:style>
  <w:style w:type="character" w:customStyle="1" w:styleId="Heading5Char">
    <w:name w:val="Heading 5 Char"/>
    <w:basedOn w:val="DefaultParagraphFont"/>
    <w:link w:val="Heading5"/>
    <w:uiPriority w:val="9"/>
    <w:semiHidden/>
    <w:rsid w:val="00635C99"/>
    <w:rPr>
      <w:rFonts w:asciiTheme="majorHAnsi" w:eastAsiaTheme="majorEastAsia" w:hAnsiTheme="majorHAnsi" w:cstheme="majorBidi"/>
      <w:color w:val="0483A0" w:themeColor="accent1" w:themeShade="BF"/>
      <w:lang w:val="en-GB"/>
    </w:rPr>
  </w:style>
  <w:style w:type="character" w:customStyle="1" w:styleId="Heading6Char">
    <w:name w:val="Heading 6 Char"/>
    <w:basedOn w:val="DefaultParagraphFont"/>
    <w:link w:val="Heading6"/>
    <w:uiPriority w:val="9"/>
    <w:semiHidden/>
    <w:rsid w:val="00635C99"/>
    <w:rPr>
      <w:rFonts w:asciiTheme="majorHAnsi" w:eastAsiaTheme="majorEastAsia" w:hAnsiTheme="majorHAnsi" w:cstheme="majorBidi"/>
      <w:color w:val="03576A" w:themeColor="accent1" w:themeShade="7F"/>
      <w:lang w:val="en-GB"/>
    </w:rPr>
  </w:style>
  <w:style w:type="character" w:customStyle="1" w:styleId="Heading7Char">
    <w:name w:val="Heading 7 Char"/>
    <w:basedOn w:val="DefaultParagraphFont"/>
    <w:link w:val="Heading7"/>
    <w:uiPriority w:val="9"/>
    <w:semiHidden/>
    <w:rsid w:val="00635C99"/>
    <w:rPr>
      <w:rFonts w:asciiTheme="majorHAnsi" w:eastAsiaTheme="majorEastAsia" w:hAnsiTheme="majorHAnsi" w:cstheme="majorBidi"/>
      <w:i/>
      <w:iCs/>
      <w:color w:val="03576A" w:themeColor="accent1" w:themeShade="7F"/>
      <w:lang w:val="en-GB"/>
    </w:rPr>
  </w:style>
  <w:style w:type="character" w:customStyle="1" w:styleId="Heading8Char">
    <w:name w:val="Heading 8 Char"/>
    <w:basedOn w:val="DefaultParagraphFont"/>
    <w:link w:val="Heading8"/>
    <w:uiPriority w:val="9"/>
    <w:semiHidden/>
    <w:rsid w:val="00635C9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35C99"/>
    <w:rPr>
      <w:rFonts w:asciiTheme="majorHAnsi" w:eastAsiaTheme="majorEastAsia" w:hAnsiTheme="majorHAnsi" w:cstheme="majorBidi"/>
      <w:i/>
      <w:iCs/>
      <w:color w:val="272727" w:themeColor="text1" w:themeTint="D8"/>
      <w:sz w:val="21"/>
      <w:szCs w:val="21"/>
      <w:lang w:val="en-GB"/>
    </w:rPr>
  </w:style>
  <w:style w:type="paragraph" w:styleId="TOC1">
    <w:name w:val="toc 1"/>
    <w:hidden/>
    <w:uiPriority w:val="39"/>
    <w:pPr>
      <w:spacing w:after="104" w:line="249" w:lineRule="auto"/>
      <w:ind w:left="25" w:right="23" w:hanging="10"/>
      <w:jc w:val="both"/>
    </w:pPr>
    <w:rPr>
      <w:rFonts w:ascii="Arial" w:eastAsia="Arial" w:hAnsi="Arial" w:cs="Arial"/>
      <w:color w:val="000000"/>
    </w:rPr>
  </w:style>
  <w:style w:type="paragraph" w:styleId="TOC2">
    <w:name w:val="toc 2"/>
    <w:hidden/>
    <w:uiPriority w:val="39"/>
    <w:pPr>
      <w:spacing w:after="106" w:line="249" w:lineRule="auto"/>
      <w:ind w:left="591" w:right="23"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F4"/>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F0AFC"/>
    <w:rPr>
      <w:sz w:val="16"/>
      <w:szCs w:val="16"/>
    </w:rPr>
  </w:style>
  <w:style w:type="paragraph" w:styleId="CommentText">
    <w:name w:val="annotation text"/>
    <w:basedOn w:val="Normal"/>
    <w:link w:val="CommentTextChar"/>
    <w:uiPriority w:val="99"/>
    <w:unhideWhenUsed/>
    <w:rsid w:val="009F0AFC"/>
    <w:pPr>
      <w:spacing w:line="240" w:lineRule="auto"/>
    </w:pPr>
    <w:rPr>
      <w:sz w:val="20"/>
      <w:szCs w:val="20"/>
    </w:rPr>
  </w:style>
  <w:style w:type="character" w:customStyle="1" w:styleId="CommentTextChar">
    <w:name w:val="Comment Text Char"/>
    <w:basedOn w:val="DefaultParagraphFont"/>
    <w:link w:val="CommentText"/>
    <w:uiPriority w:val="99"/>
    <w:rsid w:val="009F0AF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F0AFC"/>
    <w:rPr>
      <w:b/>
      <w:bCs/>
    </w:rPr>
  </w:style>
  <w:style w:type="character" w:customStyle="1" w:styleId="CommentSubjectChar">
    <w:name w:val="Comment Subject Char"/>
    <w:basedOn w:val="CommentTextChar"/>
    <w:link w:val="CommentSubject"/>
    <w:uiPriority w:val="99"/>
    <w:semiHidden/>
    <w:rsid w:val="009F0AFC"/>
    <w:rPr>
      <w:rFonts w:ascii="Arial" w:eastAsia="Arial" w:hAnsi="Arial" w:cs="Arial"/>
      <w:b/>
      <w:bCs/>
      <w:color w:val="000000"/>
      <w:sz w:val="20"/>
      <w:szCs w:val="20"/>
    </w:rPr>
  </w:style>
  <w:style w:type="table" w:styleId="TableGrid0">
    <w:name w:val="Table Grid"/>
    <w:basedOn w:val="TableNormal"/>
    <w:uiPriority w:val="59"/>
    <w:rsid w:val="00FA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1626"/>
    <w:pPr>
      <w:spacing w:before="140" w:after="140" w:line="260" w:lineRule="atLeast"/>
    </w:pPr>
    <w:rPr>
      <w:rFonts w:ascii="Times New Roman" w:eastAsia="Times New Roman" w:hAnsi="Times New Roman" w:cs="Times New Roman"/>
      <w:color w:val="auto"/>
      <w:szCs w:val="20"/>
      <w:lang w:eastAsia="x-none"/>
    </w:rPr>
  </w:style>
  <w:style w:type="character" w:customStyle="1" w:styleId="BodyTextChar">
    <w:name w:val="Body Text Char"/>
    <w:basedOn w:val="DefaultParagraphFont"/>
    <w:link w:val="BodyText"/>
    <w:rsid w:val="00FA1626"/>
    <w:rPr>
      <w:rFonts w:ascii="Times New Roman" w:eastAsia="Times New Roman" w:hAnsi="Times New Roman" w:cs="Times New Roman"/>
      <w:szCs w:val="20"/>
      <w:lang w:val="en-GB" w:eastAsia="x-none"/>
    </w:rPr>
  </w:style>
  <w:style w:type="character" w:styleId="Hyperlink">
    <w:name w:val="Hyperlink"/>
    <w:basedOn w:val="DefaultParagraphFont"/>
    <w:uiPriority w:val="99"/>
    <w:unhideWhenUsed/>
    <w:rsid w:val="003D2FE8"/>
    <w:rPr>
      <w:color w:val="CBB991" w:themeColor="hyperlink"/>
      <w:u w:val="single"/>
    </w:rPr>
  </w:style>
  <w:style w:type="table" w:styleId="PlainTable3">
    <w:name w:val="Plain Table 3"/>
    <w:basedOn w:val="TableNormal"/>
    <w:uiPriority w:val="43"/>
    <w:rsid w:val="001D61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D61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D61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E46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3A4"/>
    <w:pPr>
      <w:spacing w:before="240" w:after="0"/>
      <w:outlineLvl w:val="9"/>
    </w:pPr>
    <w:rPr>
      <w:rFonts w:asciiTheme="majorHAnsi" w:eastAsiaTheme="majorEastAsia" w:hAnsiTheme="majorHAnsi" w:cstheme="majorBidi"/>
      <w:b w:val="0"/>
      <w:color w:val="0483A0" w:themeColor="accent1" w:themeShade="BF"/>
    </w:rPr>
  </w:style>
  <w:style w:type="paragraph" w:styleId="TOC3">
    <w:name w:val="toc 3"/>
    <w:basedOn w:val="Normal"/>
    <w:next w:val="Normal"/>
    <w:autoRedefine/>
    <w:uiPriority w:val="39"/>
    <w:unhideWhenUsed/>
    <w:rsid w:val="00D75B60"/>
    <w:pPr>
      <w:tabs>
        <w:tab w:val="left" w:pos="1320"/>
        <w:tab w:val="right" w:leader="dot" w:pos="9027"/>
      </w:tabs>
      <w:spacing w:after="100"/>
      <w:ind w:left="446"/>
    </w:pPr>
  </w:style>
  <w:style w:type="paragraph" w:styleId="ListParagraph">
    <w:name w:val="List Paragraph"/>
    <w:basedOn w:val="Normal"/>
    <w:link w:val="ListParagraphChar"/>
    <w:autoRedefine/>
    <w:uiPriority w:val="34"/>
    <w:qFormat/>
    <w:rsid w:val="009262C5"/>
    <w:pPr>
      <w:numPr>
        <w:numId w:val="16"/>
      </w:numPr>
      <w:spacing w:before="120" w:after="120" w:line="259" w:lineRule="auto"/>
      <w:jc w:val="left"/>
    </w:pPr>
    <w:rPr>
      <w:bCs/>
      <w:sz w:val="20"/>
    </w:rPr>
  </w:style>
  <w:style w:type="paragraph" w:styleId="Revision">
    <w:name w:val="Revision"/>
    <w:hidden/>
    <w:uiPriority w:val="99"/>
    <w:semiHidden/>
    <w:rsid w:val="0041105D"/>
    <w:pPr>
      <w:spacing w:after="0" w:line="240" w:lineRule="auto"/>
    </w:pPr>
    <w:rPr>
      <w:rFonts w:ascii="Arial" w:eastAsia="Arial" w:hAnsi="Arial" w:cs="Arial"/>
      <w:color w:val="000000"/>
    </w:rPr>
  </w:style>
  <w:style w:type="paragraph" w:styleId="Subtitle">
    <w:name w:val="Subtitle"/>
    <w:basedOn w:val="Normal"/>
    <w:next w:val="Normal"/>
    <w:link w:val="SubtitleChar"/>
    <w:autoRedefine/>
    <w:uiPriority w:val="11"/>
    <w:qFormat/>
    <w:rsid w:val="00F260C3"/>
    <w:pPr>
      <w:numPr>
        <w:ilvl w:val="1"/>
      </w:numPr>
      <w:spacing w:before="240" w:after="160"/>
      <w:ind w:left="11" w:hanging="11"/>
      <w:jc w:val="left"/>
    </w:pPr>
    <w:rPr>
      <w:rFonts w:eastAsiaTheme="minorEastAsia" w:cstheme="minorBidi"/>
      <w:b/>
      <w:color w:val="auto"/>
    </w:rPr>
  </w:style>
  <w:style w:type="character" w:customStyle="1" w:styleId="SubtitleChar">
    <w:name w:val="Subtitle Char"/>
    <w:basedOn w:val="DefaultParagraphFont"/>
    <w:link w:val="Subtitle"/>
    <w:uiPriority w:val="11"/>
    <w:rsid w:val="00F260C3"/>
    <w:rPr>
      <w:rFonts w:ascii="Arial" w:hAnsi="Arial"/>
      <w:b/>
      <w:lang w:val="en-GB"/>
    </w:rPr>
  </w:style>
  <w:style w:type="paragraph" w:styleId="Caption">
    <w:name w:val="caption"/>
    <w:basedOn w:val="Normal"/>
    <w:next w:val="Normal"/>
    <w:autoRedefine/>
    <w:uiPriority w:val="35"/>
    <w:unhideWhenUsed/>
    <w:qFormat/>
    <w:rsid w:val="00F260C3"/>
    <w:pPr>
      <w:keepNext/>
      <w:spacing w:before="240" w:after="40" w:line="240" w:lineRule="auto"/>
    </w:pPr>
    <w:rPr>
      <w:b/>
      <w:bCs/>
      <w:iCs/>
      <w:color w:val="auto"/>
      <w:sz w:val="20"/>
      <w:szCs w:val="20"/>
    </w:rPr>
  </w:style>
  <w:style w:type="paragraph" w:styleId="Footer">
    <w:name w:val="footer"/>
    <w:basedOn w:val="Normal"/>
    <w:link w:val="FooterChar"/>
    <w:uiPriority w:val="99"/>
    <w:unhideWhenUsed/>
    <w:rsid w:val="00E27CBD"/>
    <w:pPr>
      <w:keepLines w:val="0"/>
      <w:tabs>
        <w:tab w:val="center" w:pos="4680"/>
        <w:tab w:val="right" w:pos="9360"/>
      </w:tabs>
      <w:spacing w:after="0" w:line="240" w:lineRule="auto"/>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E27CBD"/>
    <w:rPr>
      <w:rFonts w:cs="Times New Roman"/>
    </w:rPr>
  </w:style>
  <w:style w:type="character" w:styleId="FollowedHyperlink">
    <w:name w:val="FollowedHyperlink"/>
    <w:basedOn w:val="DefaultParagraphFont"/>
    <w:uiPriority w:val="99"/>
    <w:semiHidden/>
    <w:unhideWhenUsed/>
    <w:rsid w:val="006B64B5"/>
    <w:rPr>
      <w:color w:val="4ADDFA" w:themeColor="followedHyperlink"/>
      <w:u w:val="single"/>
    </w:rPr>
  </w:style>
  <w:style w:type="paragraph" w:styleId="FootnoteText">
    <w:name w:val="footnote text"/>
    <w:basedOn w:val="Normal"/>
    <w:link w:val="FootnoteTextChar"/>
    <w:uiPriority w:val="99"/>
    <w:semiHidden/>
    <w:unhideWhenUsed/>
    <w:rsid w:val="00F71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CB0"/>
    <w:rPr>
      <w:rFonts w:ascii="Arial" w:eastAsia="Arial" w:hAnsi="Arial" w:cs="Arial"/>
      <w:color w:val="000000"/>
      <w:sz w:val="20"/>
      <w:szCs w:val="20"/>
    </w:rPr>
  </w:style>
  <w:style w:type="character" w:styleId="FootnoteReference">
    <w:name w:val="footnote reference"/>
    <w:basedOn w:val="DefaultParagraphFont"/>
    <w:uiPriority w:val="99"/>
    <w:unhideWhenUsed/>
    <w:rsid w:val="00F71CB0"/>
    <w:rPr>
      <w:vertAlign w:val="superscript"/>
    </w:rPr>
  </w:style>
  <w:style w:type="paragraph" w:styleId="EndnoteText">
    <w:name w:val="endnote text"/>
    <w:basedOn w:val="Normal"/>
    <w:link w:val="EndnoteTextChar"/>
    <w:uiPriority w:val="99"/>
    <w:semiHidden/>
    <w:unhideWhenUsed/>
    <w:rsid w:val="00F71C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1CB0"/>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F71CB0"/>
    <w:rPr>
      <w:vertAlign w:val="superscript"/>
    </w:rPr>
  </w:style>
  <w:style w:type="paragraph" w:customStyle="1" w:styleId="ACTextChar">
    <w:name w:val="AC Text Char"/>
    <w:basedOn w:val="Normal"/>
    <w:link w:val="ACTextCharChar"/>
    <w:rsid w:val="001669B7"/>
    <w:pPr>
      <w:keepLines w:val="0"/>
      <w:tabs>
        <w:tab w:val="left" w:pos="0"/>
      </w:tabs>
      <w:suppressAutoHyphens/>
      <w:overflowPunct w:val="0"/>
      <w:autoSpaceDE w:val="0"/>
      <w:autoSpaceDN w:val="0"/>
      <w:adjustRightInd w:val="0"/>
      <w:spacing w:before="130" w:after="0" w:line="240" w:lineRule="auto"/>
      <w:textAlignment w:val="baseline"/>
    </w:pPr>
    <w:rPr>
      <w:rFonts w:ascii="Times New Roman" w:eastAsia="Times New Roman" w:hAnsi="Times New Roman" w:cs="Times New Roman"/>
      <w:color w:val="auto"/>
      <w:sz w:val="20"/>
      <w:szCs w:val="20"/>
    </w:rPr>
  </w:style>
  <w:style w:type="character" w:customStyle="1" w:styleId="ACTextCharChar">
    <w:name w:val="AC Text Char Char"/>
    <w:link w:val="ACTextChar"/>
    <w:rsid w:val="001669B7"/>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844536"/>
    <w:pPr>
      <w:keepLines w:val="0"/>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979BC"/>
    <w:rPr>
      <w:rFonts w:ascii="Segoe UI" w:hAnsi="Segoe UI" w:cs="Segoe UI" w:hint="default"/>
      <w:sz w:val="18"/>
      <w:szCs w:val="18"/>
    </w:rPr>
  </w:style>
  <w:style w:type="character" w:customStyle="1" w:styleId="ListParagraphChar">
    <w:name w:val="List Paragraph Char"/>
    <w:link w:val="ListParagraph"/>
    <w:uiPriority w:val="34"/>
    <w:locked/>
    <w:rsid w:val="009262C5"/>
    <w:rPr>
      <w:rFonts w:ascii="Arial" w:eastAsia="Arial" w:hAnsi="Arial" w:cs="Arial"/>
      <w:bCs/>
      <w:color w:val="000000"/>
      <w:sz w:val="20"/>
      <w:lang w:val="en-GB"/>
    </w:rPr>
  </w:style>
  <w:style w:type="paragraph" w:styleId="NoSpacing">
    <w:name w:val="No Spacing"/>
    <w:aliases w:val="Normal 1"/>
    <w:link w:val="NoSpacingChar"/>
    <w:uiPriority w:val="1"/>
    <w:qFormat/>
    <w:rsid w:val="00882C2B"/>
    <w:pPr>
      <w:keepLines/>
      <w:spacing w:after="0" w:line="240" w:lineRule="auto"/>
      <w:jc w:val="both"/>
    </w:pPr>
    <w:rPr>
      <w:rFonts w:ascii="Arial" w:eastAsia="Arial" w:hAnsi="Arial" w:cs="Arial"/>
      <w:color w:val="000000"/>
    </w:rPr>
  </w:style>
  <w:style w:type="character" w:customStyle="1" w:styleId="NoSpacingChar">
    <w:name w:val="No Spacing Char"/>
    <w:aliases w:val="Normal 1 Char"/>
    <w:basedOn w:val="DefaultParagraphFont"/>
    <w:link w:val="NoSpacing"/>
    <w:uiPriority w:val="1"/>
    <w:locked/>
    <w:rsid w:val="00CB4CB5"/>
    <w:rPr>
      <w:rFonts w:ascii="Arial" w:eastAsia="Arial" w:hAnsi="Arial" w:cs="Arial"/>
      <w:color w:val="000000"/>
    </w:rPr>
  </w:style>
  <w:style w:type="table" w:customStyle="1" w:styleId="TableGrid11">
    <w:name w:val="Table Grid11"/>
    <w:basedOn w:val="TableNormal"/>
    <w:next w:val="TableGrid0"/>
    <w:rsid w:val="002878FB"/>
    <w:pPr>
      <w:spacing w:after="0" w:line="240" w:lineRule="auto"/>
    </w:pPr>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758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8E6"/>
    <w:rPr>
      <w:rFonts w:ascii="Arial" w:eastAsia="Arial" w:hAnsi="Arial" w:cs="Arial"/>
      <w:color w:val="000000"/>
      <w:lang w:val="en-GB"/>
    </w:rPr>
  </w:style>
  <w:style w:type="paragraph" w:customStyle="1" w:styleId="Default">
    <w:name w:val="Default"/>
    <w:rsid w:val="0027744C"/>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830">
      <w:bodyDiv w:val="1"/>
      <w:marLeft w:val="0"/>
      <w:marRight w:val="0"/>
      <w:marTop w:val="0"/>
      <w:marBottom w:val="0"/>
      <w:divBdr>
        <w:top w:val="none" w:sz="0" w:space="0" w:color="auto"/>
        <w:left w:val="none" w:sz="0" w:space="0" w:color="auto"/>
        <w:bottom w:val="none" w:sz="0" w:space="0" w:color="auto"/>
        <w:right w:val="none" w:sz="0" w:space="0" w:color="auto"/>
      </w:divBdr>
    </w:div>
    <w:div w:id="47654331">
      <w:bodyDiv w:val="1"/>
      <w:marLeft w:val="0"/>
      <w:marRight w:val="0"/>
      <w:marTop w:val="0"/>
      <w:marBottom w:val="0"/>
      <w:divBdr>
        <w:top w:val="none" w:sz="0" w:space="0" w:color="auto"/>
        <w:left w:val="none" w:sz="0" w:space="0" w:color="auto"/>
        <w:bottom w:val="none" w:sz="0" w:space="0" w:color="auto"/>
        <w:right w:val="none" w:sz="0" w:space="0" w:color="auto"/>
      </w:divBdr>
    </w:div>
    <w:div w:id="54816604">
      <w:bodyDiv w:val="1"/>
      <w:marLeft w:val="0"/>
      <w:marRight w:val="0"/>
      <w:marTop w:val="0"/>
      <w:marBottom w:val="0"/>
      <w:divBdr>
        <w:top w:val="none" w:sz="0" w:space="0" w:color="auto"/>
        <w:left w:val="none" w:sz="0" w:space="0" w:color="auto"/>
        <w:bottom w:val="none" w:sz="0" w:space="0" w:color="auto"/>
        <w:right w:val="none" w:sz="0" w:space="0" w:color="auto"/>
      </w:divBdr>
    </w:div>
    <w:div w:id="61411109">
      <w:bodyDiv w:val="1"/>
      <w:marLeft w:val="0"/>
      <w:marRight w:val="0"/>
      <w:marTop w:val="0"/>
      <w:marBottom w:val="0"/>
      <w:divBdr>
        <w:top w:val="none" w:sz="0" w:space="0" w:color="auto"/>
        <w:left w:val="none" w:sz="0" w:space="0" w:color="auto"/>
        <w:bottom w:val="none" w:sz="0" w:space="0" w:color="auto"/>
        <w:right w:val="none" w:sz="0" w:space="0" w:color="auto"/>
      </w:divBdr>
    </w:div>
    <w:div w:id="72972728">
      <w:bodyDiv w:val="1"/>
      <w:marLeft w:val="0"/>
      <w:marRight w:val="0"/>
      <w:marTop w:val="0"/>
      <w:marBottom w:val="0"/>
      <w:divBdr>
        <w:top w:val="none" w:sz="0" w:space="0" w:color="auto"/>
        <w:left w:val="none" w:sz="0" w:space="0" w:color="auto"/>
        <w:bottom w:val="none" w:sz="0" w:space="0" w:color="auto"/>
        <w:right w:val="none" w:sz="0" w:space="0" w:color="auto"/>
      </w:divBdr>
    </w:div>
    <w:div w:id="94711781">
      <w:bodyDiv w:val="1"/>
      <w:marLeft w:val="0"/>
      <w:marRight w:val="0"/>
      <w:marTop w:val="0"/>
      <w:marBottom w:val="0"/>
      <w:divBdr>
        <w:top w:val="none" w:sz="0" w:space="0" w:color="auto"/>
        <w:left w:val="none" w:sz="0" w:space="0" w:color="auto"/>
        <w:bottom w:val="none" w:sz="0" w:space="0" w:color="auto"/>
        <w:right w:val="none" w:sz="0" w:space="0" w:color="auto"/>
      </w:divBdr>
    </w:div>
    <w:div w:id="125591293">
      <w:bodyDiv w:val="1"/>
      <w:marLeft w:val="0"/>
      <w:marRight w:val="0"/>
      <w:marTop w:val="0"/>
      <w:marBottom w:val="0"/>
      <w:divBdr>
        <w:top w:val="none" w:sz="0" w:space="0" w:color="auto"/>
        <w:left w:val="none" w:sz="0" w:space="0" w:color="auto"/>
        <w:bottom w:val="none" w:sz="0" w:space="0" w:color="auto"/>
        <w:right w:val="none" w:sz="0" w:space="0" w:color="auto"/>
      </w:divBdr>
    </w:div>
    <w:div w:id="129255443">
      <w:bodyDiv w:val="1"/>
      <w:marLeft w:val="0"/>
      <w:marRight w:val="0"/>
      <w:marTop w:val="0"/>
      <w:marBottom w:val="0"/>
      <w:divBdr>
        <w:top w:val="none" w:sz="0" w:space="0" w:color="auto"/>
        <w:left w:val="none" w:sz="0" w:space="0" w:color="auto"/>
        <w:bottom w:val="none" w:sz="0" w:space="0" w:color="auto"/>
        <w:right w:val="none" w:sz="0" w:space="0" w:color="auto"/>
      </w:divBdr>
    </w:div>
    <w:div w:id="132329519">
      <w:bodyDiv w:val="1"/>
      <w:marLeft w:val="0"/>
      <w:marRight w:val="0"/>
      <w:marTop w:val="0"/>
      <w:marBottom w:val="0"/>
      <w:divBdr>
        <w:top w:val="none" w:sz="0" w:space="0" w:color="auto"/>
        <w:left w:val="none" w:sz="0" w:space="0" w:color="auto"/>
        <w:bottom w:val="none" w:sz="0" w:space="0" w:color="auto"/>
        <w:right w:val="none" w:sz="0" w:space="0" w:color="auto"/>
      </w:divBdr>
    </w:div>
    <w:div w:id="134295405">
      <w:bodyDiv w:val="1"/>
      <w:marLeft w:val="0"/>
      <w:marRight w:val="0"/>
      <w:marTop w:val="0"/>
      <w:marBottom w:val="0"/>
      <w:divBdr>
        <w:top w:val="none" w:sz="0" w:space="0" w:color="auto"/>
        <w:left w:val="none" w:sz="0" w:space="0" w:color="auto"/>
        <w:bottom w:val="none" w:sz="0" w:space="0" w:color="auto"/>
        <w:right w:val="none" w:sz="0" w:space="0" w:color="auto"/>
      </w:divBdr>
    </w:div>
    <w:div w:id="135874282">
      <w:bodyDiv w:val="1"/>
      <w:marLeft w:val="0"/>
      <w:marRight w:val="0"/>
      <w:marTop w:val="0"/>
      <w:marBottom w:val="0"/>
      <w:divBdr>
        <w:top w:val="none" w:sz="0" w:space="0" w:color="auto"/>
        <w:left w:val="none" w:sz="0" w:space="0" w:color="auto"/>
        <w:bottom w:val="none" w:sz="0" w:space="0" w:color="auto"/>
        <w:right w:val="none" w:sz="0" w:space="0" w:color="auto"/>
      </w:divBdr>
    </w:div>
    <w:div w:id="138764560">
      <w:bodyDiv w:val="1"/>
      <w:marLeft w:val="0"/>
      <w:marRight w:val="0"/>
      <w:marTop w:val="0"/>
      <w:marBottom w:val="0"/>
      <w:divBdr>
        <w:top w:val="none" w:sz="0" w:space="0" w:color="auto"/>
        <w:left w:val="none" w:sz="0" w:space="0" w:color="auto"/>
        <w:bottom w:val="none" w:sz="0" w:space="0" w:color="auto"/>
        <w:right w:val="none" w:sz="0" w:space="0" w:color="auto"/>
      </w:divBdr>
    </w:div>
    <w:div w:id="169565824">
      <w:bodyDiv w:val="1"/>
      <w:marLeft w:val="0"/>
      <w:marRight w:val="0"/>
      <w:marTop w:val="0"/>
      <w:marBottom w:val="0"/>
      <w:divBdr>
        <w:top w:val="none" w:sz="0" w:space="0" w:color="auto"/>
        <w:left w:val="none" w:sz="0" w:space="0" w:color="auto"/>
        <w:bottom w:val="none" w:sz="0" w:space="0" w:color="auto"/>
        <w:right w:val="none" w:sz="0" w:space="0" w:color="auto"/>
      </w:divBdr>
    </w:div>
    <w:div w:id="172693501">
      <w:bodyDiv w:val="1"/>
      <w:marLeft w:val="0"/>
      <w:marRight w:val="0"/>
      <w:marTop w:val="0"/>
      <w:marBottom w:val="0"/>
      <w:divBdr>
        <w:top w:val="none" w:sz="0" w:space="0" w:color="auto"/>
        <w:left w:val="none" w:sz="0" w:space="0" w:color="auto"/>
        <w:bottom w:val="none" w:sz="0" w:space="0" w:color="auto"/>
        <w:right w:val="none" w:sz="0" w:space="0" w:color="auto"/>
      </w:divBdr>
    </w:div>
    <w:div w:id="179701556">
      <w:bodyDiv w:val="1"/>
      <w:marLeft w:val="0"/>
      <w:marRight w:val="0"/>
      <w:marTop w:val="0"/>
      <w:marBottom w:val="0"/>
      <w:divBdr>
        <w:top w:val="none" w:sz="0" w:space="0" w:color="auto"/>
        <w:left w:val="none" w:sz="0" w:space="0" w:color="auto"/>
        <w:bottom w:val="none" w:sz="0" w:space="0" w:color="auto"/>
        <w:right w:val="none" w:sz="0" w:space="0" w:color="auto"/>
      </w:divBdr>
    </w:div>
    <w:div w:id="225192289">
      <w:bodyDiv w:val="1"/>
      <w:marLeft w:val="0"/>
      <w:marRight w:val="0"/>
      <w:marTop w:val="0"/>
      <w:marBottom w:val="0"/>
      <w:divBdr>
        <w:top w:val="none" w:sz="0" w:space="0" w:color="auto"/>
        <w:left w:val="none" w:sz="0" w:space="0" w:color="auto"/>
        <w:bottom w:val="none" w:sz="0" w:space="0" w:color="auto"/>
        <w:right w:val="none" w:sz="0" w:space="0" w:color="auto"/>
      </w:divBdr>
    </w:div>
    <w:div w:id="231425087">
      <w:bodyDiv w:val="1"/>
      <w:marLeft w:val="0"/>
      <w:marRight w:val="0"/>
      <w:marTop w:val="0"/>
      <w:marBottom w:val="0"/>
      <w:divBdr>
        <w:top w:val="none" w:sz="0" w:space="0" w:color="auto"/>
        <w:left w:val="none" w:sz="0" w:space="0" w:color="auto"/>
        <w:bottom w:val="none" w:sz="0" w:space="0" w:color="auto"/>
        <w:right w:val="none" w:sz="0" w:space="0" w:color="auto"/>
      </w:divBdr>
    </w:div>
    <w:div w:id="245966612">
      <w:bodyDiv w:val="1"/>
      <w:marLeft w:val="0"/>
      <w:marRight w:val="0"/>
      <w:marTop w:val="0"/>
      <w:marBottom w:val="0"/>
      <w:divBdr>
        <w:top w:val="none" w:sz="0" w:space="0" w:color="auto"/>
        <w:left w:val="none" w:sz="0" w:space="0" w:color="auto"/>
        <w:bottom w:val="none" w:sz="0" w:space="0" w:color="auto"/>
        <w:right w:val="none" w:sz="0" w:space="0" w:color="auto"/>
      </w:divBdr>
    </w:div>
    <w:div w:id="254637814">
      <w:bodyDiv w:val="1"/>
      <w:marLeft w:val="0"/>
      <w:marRight w:val="0"/>
      <w:marTop w:val="0"/>
      <w:marBottom w:val="0"/>
      <w:divBdr>
        <w:top w:val="none" w:sz="0" w:space="0" w:color="auto"/>
        <w:left w:val="none" w:sz="0" w:space="0" w:color="auto"/>
        <w:bottom w:val="none" w:sz="0" w:space="0" w:color="auto"/>
        <w:right w:val="none" w:sz="0" w:space="0" w:color="auto"/>
      </w:divBdr>
    </w:div>
    <w:div w:id="260257939">
      <w:bodyDiv w:val="1"/>
      <w:marLeft w:val="0"/>
      <w:marRight w:val="0"/>
      <w:marTop w:val="0"/>
      <w:marBottom w:val="0"/>
      <w:divBdr>
        <w:top w:val="none" w:sz="0" w:space="0" w:color="auto"/>
        <w:left w:val="none" w:sz="0" w:space="0" w:color="auto"/>
        <w:bottom w:val="none" w:sz="0" w:space="0" w:color="auto"/>
        <w:right w:val="none" w:sz="0" w:space="0" w:color="auto"/>
      </w:divBdr>
    </w:div>
    <w:div w:id="271060807">
      <w:bodyDiv w:val="1"/>
      <w:marLeft w:val="0"/>
      <w:marRight w:val="0"/>
      <w:marTop w:val="0"/>
      <w:marBottom w:val="0"/>
      <w:divBdr>
        <w:top w:val="none" w:sz="0" w:space="0" w:color="auto"/>
        <w:left w:val="none" w:sz="0" w:space="0" w:color="auto"/>
        <w:bottom w:val="none" w:sz="0" w:space="0" w:color="auto"/>
        <w:right w:val="none" w:sz="0" w:space="0" w:color="auto"/>
      </w:divBdr>
    </w:div>
    <w:div w:id="275648694">
      <w:bodyDiv w:val="1"/>
      <w:marLeft w:val="0"/>
      <w:marRight w:val="0"/>
      <w:marTop w:val="0"/>
      <w:marBottom w:val="0"/>
      <w:divBdr>
        <w:top w:val="none" w:sz="0" w:space="0" w:color="auto"/>
        <w:left w:val="none" w:sz="0" w:space="0" w:color="auto"/>
        <w:bottom w:val="none" w:sz="0" w:space="0" w:color="auto"/>
        <w:right w:val="none" w:sz="0" w:space="0" w:color="auto"/>
      </w:divBdr>
    </w:div>
    <w:div w:id="279337227">
      <w:bodyDiv w:val="1"/>
      <w:marLeft w:val="0"/>
      <w:marRight w:val="0"/>
      <w:marTop w:val="0"/>
      <w:marBottom w:val="0"/>
      <w:divBdr>
        <w:top w:val="none" w:sz="0" w:space="0" w:color="auto"/>
        <w:left w:val="none" w:sz="0" w:space="0" w:color="auto"/>
        <w:bottom w:val="none" w:sz="0" w:space="0" w:color="auto"/>
        <w:right w:val="none" w:sz="0" w:space="0" w:color="auto"/>
      </w:divBdr>
    </w:div>
    <w:div w:id="283462776">
      <w:bodyDiv w:val="1"/>
      <w:marLeft w:val="0"/>
      <w:marRight w:val="0"/>
      <w:marTop w:val="0"/>
      <w:marBottom w:val="0"/>
      <w:divBdr>
        <w:top w:val="none" w:sz="0" w:space="0" w:color="auto"/>
        <w:left w:val="none" w:sz="0" w:space="0" w:color="auto"/>
        <w:bottom w:val="none" w:sz="0" w:space="0" w:color="auto"/>
        <w:right w:val="none" w:sz="0" w:space="0" w:color="auto"/>
      </w:divBdr>
    </w:div>
    <w:div w:id="287009515">
      <w:bodyDiv w:val="1"/>
      <w:marLeft w:val="0"/>
      <w:marRight w:val="0"/>
      <w:marTop w:val="0"/>
      <w:marBottom w:val="0"/>
      <w:divBdr>
        <w:top w:val="none" w:sz="0" w:space="0" w:color="auto"/>
        <w:left w:val="none" w:sz="0" w:space="0" w:color="auto"/>
        <w:bottom w:val="none" w:sz="0" w:space="0" w:color="auto"/>
        <w:right w:val="none" w:sz="0" w:space="0" w:color="auto"/>
      </w:divBdr>
    </w:div>
    <w:div w:id="303239449">
      <w:bodyDiv w:val="1"/>
      <w:marLeft w:val="0"/>
      <w:marRight w:val="0"/>
      <w:marTop w:val="0"/>
      <w:marBottom w:val="0"/>
      <w:divBdr>
        <w:top w:val="none" w:sz="0" w:space="0" w:color="auto"/>
        <w:left w:val="none" w:sz="0" w:space="0" w:color="auto"/>
        <w:bottom w:val="none" w:sz="0" w:space="0" w:color="auto"/>
        <w:right w:val="none" w:sz="0" w:space="0" w:color="auto"/>
      </w:divBdr>
    </w:div>
    <w:div w:id="308286790">
      <w:bodyDiv w:val="1"/>
      <w:marLeft w:val="0"/>
      <w:marRight w:val="0"/>
      <w:marTop w:val="0"/>
      <w:marBottom w:val="0"/>
      <w:divBdr>
        <w:top w:val="none" w:sz="0" w:space="0" w:color="auto"/>
        <w:left w:val="none" w:sz="0" w:space="0" w:color="auto"/>
        <w:bottom w:val="none" w:sz="0" w:space="0" w:color="auto"/>
        <w:right w:val="none" w:sz="0" w:space="0" w:color="auto"/>
      </w:divBdr>
    </w:div>
    <w:div w:id="313070865">
      <w:bodyDiv w:val="1"/>
      <w:marLeft w:val="0"/>
      <w:marRight w:val="0"/>
      <w:marTop w:val="0"/>
      <w:marBottom w:val="0"/>
      <w:divBdr>
        <w:top w:val="none" w:sz="0" w:space="0" w:color="auto"/>
        <w:left w:val="none" w:sz="0" w:space="0" w:color="auto"/>
        <w:bottom w:val="none" w:sz="0" w:space="0" w:color="auto"/>
        <w:right w:val="none" w:sz="0" w:space="0" w:color="auto"/>
      </w:divBdr>
    </w:div>
    <w:div w:id="318846472">
      <w:bodyDiv w:val="1"/>
      <w:marLeft w:val="0"/>
      <w:marRight w:val="0"/>
      <w:marTop w:val="0"/>
      <w:marBottom w:val="0"/>
      <w:divBdr>
        <w:top w:val="none" w:sz="0" w:space="0" w:color="auto"/>
        <w:left w:val="none" w:sz="0" w:space="0" w:color="auto"/>
        <w:bottom w:val="none" w:sz="0" w:space="0" w:color="auto"/>
        <w:right w:val="none" w:sz="0" w:space="0" w:color="auto"/>
      </w:divBdr>
    </w:div>
    <w:div w:id="320474650">
      <w:bodyDiv w:val="1"/>
      <w:marLeft w:val="0"/>
      <w:marRight w:val="0"/>
      <w:marTop w:val="0"/>
      <w:marBottom w:val="0"/>
      <w:divBdr>
        <w:top w:val="none" w:sz="0" w:space="0" w:color="auto"/>
        <w:left w:val="none" w:sz="0" w:space="0" w:color="auto"/>
        <w:bottom w:val="none" w:sz="0" w:space="0" w:color="auto"/>
        <w:right w:val="none" w:sz="0" w:space="0" w:color="auto"/>
      </w:divBdr>
    </w:div>
    <w:div w:id="372658186">
      <w:bodyDiv w:val="1"/>
      <w:marLeft w:val="0"/>
      <w:marRight w:val="0"/>
      <w:marTop w:val="0"/>
      <w:marBottom w:val="0"/>
      <w:divBdr>
        <w:top w:val="none" w:sz="0" w:space="0" w:color="auto"/>
        <w:left w:val="none" w:sz="0" w:space="0" w:color="auto"/>
        <w:bottom w:val="none" w:sz="0" w:space="0" w:color="auto"/>
        <w:right w:val="none" w:sz="0" w:space="0" w:color="auto"/>
      </w:divBdr>
    </w:div>
    <w:div w:id="397553205">
      <w:bodyDiv w:val="1"/>
      <w:marLeft w:val="0"/>
      <w:marRight w:val="0"/>
      <w:marTop w:val="0"/>
      <w:marBottom w:val="0"/>
      <w:divBdr>
        <w:top w:val="none" w:sz="0" w:space="0" w:color="auto"/>
        <w:left w:val="none" w:sz="0" w:space="0" w:color="auto"/>
        <w:bottom w:val="none" w:sz="0" w:space="0" w:color="auto"/>
        <w:right w:val="none" w:sz="0" w:space="0" w:color="auto"/>
      </w:divBdr>
    </w:div>
    <w:div w:id="399253993">
      <w:bodyDiv w:val="1"/>
      <w:marLeft w:val="0"/>
      <w:marRight w:val="0"/>
      <w:marTop w:val="0"/>
      <w:marBottom w:val="0"/>
      <w:divBdr>
        <w:top w:val="none" w:sz="0" w:space="0" w:color="auto"/>
        <w:left w:val="none" w:sz="0" w:space="0" w:color="auto"/>
        <w:bottom w:val="none" w:sz="0" w:space="0" w:color="auto"/>
        <w:right w:val="none" w:sz="0" w:space="0" w:color="auto"/>
      </w:divBdr>
    </w:div>
    <w:div w:id="406151180">
      <w:bodyDiv w:val="1"/>
      <w:marLeft w:val="0"/>
      <w:marRight w:val="0"/>
      <w:marTop w:val="0"/>
      <w:marBottom w:val="0"/>
      <w:divBdr>
        <w:top w:val="none" w:sz="0" w:space="0" w:color="auto"/>
        <w:left w:val="none" w:sz="0" w:space="0" w:color="auto"/>
        <w:bottom w:val="none" w:sz="0" w:space="0" w:color="auto"/>
        <w:right w:val="none" w:sz="0" w:space="0" w:color="auto"/>
      </w:divBdr>
    </w:div>
    <w:div w:id="410781269">
      <w:bodyDiv w:val="1"/>
      <w:marLeft w:val="0"/>
      <w:marRight w:val="0"/>
      <w:marTop w:val="0"/>
      <w:marBottom w:val="0"/>
      <w:divBdr>
        <w:top w:val="none" w:sz="0" w:space="0" w:color="auto"/>
        <w:left w:val="none" w:sz="0" w:space="0" w:color="auto"/>
        <w:bottom w:val="none" w:sz="0" w:space="0" w:color="auto"/>
        <w:right w:val="none" w:sz="0" w:space="0" w:color="auto"/>
      </w:divBdr>
    </w:div>
    <w:div w:id="423696539">
      <w:bodyDiv w:val="1"/>
      <w:marLeft w:val="0"/>
      <w:marRight w:val="0"/>
      <w:marTop w:val="0"/>
      <w:marBottom w:val="0"/>
      <w:divBdr>
        <w:top w:val="none" w:sz="0" w:space="0" w:color="auto"/>
        <w:left w:val="none" w:sz="0" w:space="0" w:color="auto"/>
        <w:bottom w:val="none" w:sz="0" w:space="0" w:color="auto"/>
        <w:right w:val="none" w:sz="0" w:space="0" w:color="auto"/>
      </w:divBdr>
    </w:div>
    <w:div w:id="476455911">
      <w:bodyDiv w:val="1"/>
      <w:marLeft w:val="0"/>
      <w:marRight w:val="0"/>
      <w:marTop w:val="0"/>
      <w:marBottom w:val="0"/>
      <w:divBdr>
        <w:top w:val="none" w:sz="0" w:space="0" w:color="auto"/>
        <w:left w:val="none" w:sz="0" w:space="0" w:color="auto"/>
        <w:bottom w:val="none" w:sz="0" w:space="0" w:color="auto"/>
        <w:right w:val="none" w:sz="0" w:space="0" w:color="auto"/>
      </w:divBdr>
    </w:div>
    <w:div w:id="479736938">
      <w:bodyDiv w:val="1"/>
      <w:marLeft w:val="0"/>
      <w:marRight w:val="0"/>
      <w:marTop w:val="0"/>
      <w:marBottom w:val="0"/>
      <w:divBdr>
        <w:top w:val="none" w:sz="0" w:space="0" w:color="auto"/>
        <w:left w:val="none" w:sz="0" w:space="0" w:color="auto"/>
        <w:bottom w:val="none" w:sz="0" w:space="0" w:color="auto"/>
        <w:right w:val="none" w:sz="0" w:space="0" w:color="auto"/>
      </w:divBdr>
    </w:div>
    <w:div w:id="482160505">
      <w:bodyDiv w:val="1"/>
      <w:marLeft w:val="0"/>
      <w:marRight w:val="0"/>
      <w:marTop w:val="0"/>
      <w:marBottom w:val="0"/>
      <w:divBdr>
        <w:top w:val="none" w:sz="0" w:space="0" w:color="auto"/>
        <w:left w:val="none" w:sz="0" w:space="0" w:color="auto"/>
        <w:bottom w:val="none" w:sz="0" w:space="0" w:color="auto"/>
        <w:right w:val="none" w:sz="0" w:space="0" w:color="auto"/>
      </w:divBdr>
    </w:div>
    <w:div w:id="488597868">
      <w:bodyDiv w:val="1"/>
      <w:marLeft w:val="0"/>
      <w:marRight w:val="0"/>
      <w:marTop w:val="0"/>
      <w:marBottom w:val="0"/>
      <w:divBdr>
        <w:top w:val="none" w:sz="0" w:space="0" w:color="auto"/>
        <w:left w:val="none" w:sz="0" w:space="0" w:color="auto"/>
        <w:bottom w:val="none" w:sz="0" w:space="0" w:color="auto"/>
        <w:right w:val="none" w:sz="0" w:space="0" w:color="auto"/>
      </w:divBdr>
    </w:div>
    <w:div w:id="503865755">
      <w:bodyDiv w:val="1"/>
      <w:marLeft w:val="0"/>
      <w:marRight w:val="0"/>
      <w:marTop w:val="0"/>
      <w:marBottom w:val="0"/>
      <w:divBdr>
        <w:top w:val="none" w:sz="0" w:space="0" w:color="auto"/>
        <w:left w:val="none" w:sz="0" w:space="0" w:color="auto"/>
        <w:bottom w:val="none" w:sz="0" w:space="0" w:color="auto"/>
        <w:right w:val="none" w:sz="0" w:space="0" w:color="auto"/>
      </w:divBdr>
    </w:div>
    <w:div w:id="507133745">
      <w:bodyDiv w:val="1"/>
      <w:marLeft w:val="0"/>
      <w:marRight w:val="0"/>
      <w:marTop w:val="0"/>
      <w:marBottom w:val="0"/>
      <w:divBdr>
        <w:top w:val="none" w:sz="0" w:space="0" w:color="auto"/>
        <w:left w:val="none" w:sz="0" w:space="0" w:color="auto"/>
        <w:bottom w:val="none" w:sz="0" w:space="0" w:color="auto"/>
        <w:right w:val="none" w:sz="0" w:space="0" w:color="auto"/>
      </w:divBdr>
    </w:div>
    <w:div w:id="514811912">
      <w:bodyDiv w:val="1"/>
      <w:marLeft w:val="0"/>
      <w:marRight w:val="0"/>
      <w:marTop w:val="0"/>
      <w:marBottom w:val="0"/>
      <w:divBdr>
        <w:top w:val="none" w:sz="0" w:space="0" w:color="auto"/>
        <w:left w:val="none" w:sz="0" w:space="0" w:color="auto"/>
        <w:bottom w:val="none" w:sz="0" w:space="0" w:color="auto"/>
        <w:right w:val="none" w:sz="0" w:space="0" w:color="auto"/>
      </w:divBdr>
    </w:div>
    <w:div w:id="578557236">
      <w:bodyDiv w:val="1"/>
      <w:marLeft w:val="0"/>
      <w:marRight w:val="0"/>
      <w:marTop w:val="0"/>
      <w:marBottom w:val="0"/>
      <w:divBdr>
        <w:top w:val="none" w:sz="0" w:space="0" w:color="auto"/>
        <w:left w:val="none" w:sz="0" w:space="0" w:color="auto"/>
        <w:bottom w:val="none" w:sz="0" w:space="0" w:color="auto"/>
        <w:right w:val="none" w:sz="0" w:space="0" w:color="auto"/>
      </w:divBdr>
    </w:div>
    <w:div w:id="593631732">
      <w:bodyDiv w:val="1"/>
      <w:marLeft w:val="0"/>
      <w:marRight w:val="0"/>
      <w:marTop w:val="0"/>
      <w:marBottom w:val="0"/>
      <w:divBdr>
        <w:top w:val="none" w:sz="0" w:space="0" w:color="auto"/>
        <w:left w:val="none" w:sz="0" w:space="0" w:color="auto"/>
        <w:bottom w:val="none" w:sz="0" w:space="0" w:color="auto"/>
        <w:right w:val="none" w:sz="0" w:space="0" w:color="auto"/>
      </w:divBdr>
    </w:div>
    <w:div w:id="616529079">
      <w:bodyDiv w:val="1"/>
      <w:marLeft w:val="0"/>
      <w:marRight w:val="0"/>
      <w:marTop w:val="0"/>
      <w:marBottom w:val="0"/>
      <w:divBdr>
        <w:top w:val="none" w:sz="0" w:space="0" w:color="auto"/>
        <w:left w:val="none" w:sz="0" w:space="0" w:color="auto"/>
        <w:bottom w:val="none" w:sz="0" w:space="0" w:color="auto"/>
        <w:right w:val="none" w:sz="0" w:space="0" w:color="auto"/>
      </w:divBdr>
    </w:div>
    <w:div w:id="630017831">
      <w:bodyDiv w:val="1"/>
      <w:marLeft w:val="0"/>
      <w:marRight w:val="0"/>
      <w:marTop w:val="0"/>
      <w:marBottom w:val="0"/>
      <w:divBdr>
        <w:top w:val="none" w:sz="0" w:space="0" w:color="auto"/>
        <w:left w:val="none" w:sz="0" w:space="0" w:color="auto"/>
        <w:bottom w:val="none" w:sz="0" w:space="0" w:color="auto"/>
        <w:right w:val="none" w:sz="0" w:space="0" w:color="auto"/>
      </w:divBdr>
    </w:div>
    <w:div w:id="664672596">
      <w:bodyDiv w:val="1"/>
      <w:marLeft w:val="0"/>
      <w:marRight w:val="0"/>
      <w:marTop w:val="0"/>
      <w:marBottom w:val="0"/>
      <w:divBdr>
        <w:top w:val="none" w:sz="0" w:space="0" w:color="auto"/>
        <w:left w:val="none" w:sz="0" w:space="0" w:color="auto"/>
        <w:bottom w:val="none" w:sz="0" w:space="0" w:color="auto"/>
        <w:right w:val="none" w:sz="0" w:space="0" w:color="auto"/>
      </w:divBdr>
    </w:div>
    <w:div w:id="66613207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677612">
      <w:bodyDiv w:val="1"/>
      <w:marLeft w:val="0"/>
      <w:marRight w:val="0"/>
      <w:marTop w:val="0"/>
      <w:marBottom w:val="0"/>
      <w:divBdr>
        <w:top w:val="none" w:sz="0" w:space="0" w:color="auto"/>
        <w:left w:val="none" w:sz="0" w:space="0" w:color="auto"/>
        <w:bottom w:val="none" w:sz="0" w:space="0" w:color="auto"/>
        <w:right w:val="none" w:sz="0" w:space="0" w:color="auto"/>
      </w:divBdr>
    </w:div>
    <w:div w:id="703990458">
      <w:bodyDiv w:val="1"/>
      <w:marLeft w:val="0"/>
      <w:marRight w:val="0"/>
      <w:marTop w:val="0"/>
      <w:marBottom w:val="0"/>
      <w:divBdr>
        <w:top w:val="none" w:sz="0" w:space="0" w:color="auto"/>
        <w:left w:val="none" w:sz="0" w:space="0" w:color="auto"/>
        <w:bottom w:val="none" w:sz="0" w:space="0" w:color="auto"/>
        <w:right w:val="none" w:sz="0" w:space="0" w:color="auto"/>
      </w:divBdr>
    </w:div>
    <w:div w:id="709308380">
      <w:bodyDiv w:val="1"/>
      <w:marLeft w:val="0"/>
      <w:marRight w:val="0"/>
      <w:marTop w:val="0"/>
      <w:marBottom w:val="0"/>
      <w:divBdr>
        <w:top w:val="none" w:sz="0" w:space="0" w:color="auto"/>
        <w:left w:val="none" w:sz="0" w:space="0" w:color="auto"/>
        <w:bottom w:val="none" w:sz="0" w:space="0" w:color="auto"/>
        <w:right w:val="none" w:sz="0" w:space="0" w:color="auto"/>
      </w:divBdr>
    </w:div>
    <w:div w:id="720061234">
      <w:bodyDiv w:val="1"/>
      <w:marLeft w:val="0"/>
      <w:marRight w:val="0"/>
      <w:marTop w:val="0"/>
      <w:marBottom w:val="0"/>
      <w:divBdr>
        <w:top w:val="none" w:sz="0" w:space="0" w:color="auto"/>
        <w:left w:val="none" w:sz="0" w:space="0" w:color="auto"/>
        <w:bottom w:val="none" w:sz="0" w:space="0" w:color="auto"/>
        <w:right w:val="none" w:sz="0" w:space="0" w:color="auto"/>
      </w:divBdr>
    </w:div>
    <w:div w:id="724649102">
      <w:bodyDiv w:val="1"/>
      <w:marLeft w:val="0"/>
      <w:marRight w:val="0"/>
      <w:marTop w:val="0"/>
      <w:marBottom w:val="0"/>
      <w:divBdr>
        <w:top w:val="none" w:sz="0" w:space="0" w:color="auto"/>
        <w:left w:val="none" w:sz="0" w:space="0" w:color="auto"/>
        <w:bottom w:val="none" w:sz="0" w:space="0" w:color="auto"/>
        <w:right w:val="none" w:sz="0" w:space="0" w:color="auto"/>
      </w:divBdr>
    </w:div>
    <w:div w:id="733116444">
      <w:bodyDiv w:val="1"/>
      <w:marLeft w:val="0"/>
      <w:marRight w:val="0"/>
      <w:marTop w:val="0"/>
      <w:marBottom w:val="0"/>
      <w:divBdr>
        <w:top w:val="none" w:sz="0" w:space="0" w:color="auto"/>
        <w:left w:val="none" w:sz="0" w:space="0" w:color="auto"/>
        <w:bottom w:val="none" w:sz="0" w:space="0" w:color="auto"/>
        <w:right w:val="none" w:sz="0" w:space="0" w:color="auto"/>
      </w:divBdr>
    </w:div>
    <w:div w:id="740255638">
      <w:bodyDiv w:val="1"/>
      <w:marLeft w:val="0"/>
      <w:marRight w:val="0"/>
      <w:marTop w:val="0"/>
      <w:marBottom w:val="0"/>
      <w:divBdr>
        <w:top w:val="none" w:sz="0" w:space="0" w:color="auto"/>
        <w:left w:val="none" w:sz="0" w:space="0" w:color="auto"/>
        <w:bottom w:val="none" w:sz="0" w:space="0" w:color="auto"/>
        <w:right w:val="none" w:sz="0" w:space="0" w:color="auto"/>
      </w:divBdr>
    </w:div>
    <w:div w:id="742798308">
      <w:bodyDiv w:val="1"/>
      <w:marLeft w:val="0"/>
      <w:marRight w:val="0"/>
      <w:marTop w:val="0"/>
      <w:marBottom w:val="0"/>
      <w:divBdr>
        <w:top w:val="none" w:sz="0" w:space="0" w:color="auto"/>
        <w:left w:val="none" w:sz="0" w:space="0" w:color="auto"/>
        <w:bottom w:val="none" w:sz="0" w:space="0" w:color="auto"/>
        <w:right w:val="none" w:sz="0" w:space="0" w:color="auto"/>
      </w:divBdr>
    </w:div>
    <w:div w:id="750125474">
      <w:bodyDiv w:val="1"/>
      <w:marLeft w:val="0"/>
      <w:marRight w:val="0"/>
      <w:marTop w:val="0"/>
      <w:marBottom w:val="0"/>
      <w:divBdr>
        <w:top w:val="none" w:sz="0" w:space="0" w:color="auto"/>
        <w:left w:val="none" w:sz="0" w:space="0" w:color="auto"/>
        <w:bottom w:val="none" w:sz="0" w:space="0" w:color="auto"/>
        <w:right w:val="none" w:sz="0" w:space="0" w:color="auto"/>
      </w:divBdr>
    </w:div>
    <w:div w:id="756365465">
      <w:bodyDiv w:val="1"/>
      <w:marLeft w:val="0"/>
      <w:marRight w:val="0"/>
      <w:marTop w:val="0"/>
      <w:marBottom w:val="0"/>
      <w:divBdr>
        <w:top w:val="none" w:sz="0" w:space="0" w:color="auto"/>
        <w:left w:val="none" w:sz="0" w:space="0" w:color="auto"/>
        <w:bottom w:val="none" w:sz="0" w:space="0" w:color="auto"/>
        <w:right w:val="none" w:sz="0" w:space="0" w:color="auto"/>
      </w:divBdr>
    </w:div>
    <w:div w:id="764111573">
      <w:bodyDiv w:val="1"/>
      <w:marLeft w:val="0"/>
      <w:marRight w:val="0"/>
      <w:marTop w:val="0"/>
      <w:marBottom w:val="0"/>
      <w:divBdr>
        <w:top w:val="none" w:sz="0" w:space="0" w:color="auto"/>
        <w:left w:val="none" w:sz="0" w:space="0" w:color="auto"/>
        <w:bottom w:val="none" w:sz="0" w:space="0" w:color="auto"/>
        <w:right w:val="none" w:sz="0" w:space="0" w:color="auto"/>
      </w:divBdr>
    </w:div>
    <w:div w:id="771827528">
      <w:bodyDiv w:val="1"/>
      <w:marLeft w:val="0"/>
      <w:marRight w:val="0"/>
      <w:marTop w:val="0"/>
      <w:marBottom w:val="0"/>
      <w:divBdr>
        <w:top w:val="none" w:sz="0" w:space="0" w:color="auto"/>
        <w:left w:val="none" w:sz="0" w:space="0" w:color="auto"/>
        <w:bottom w:val="none" w:sz="0" w:space="0" w:color="auto"/>
        <w:right w:val="none" w:sz="0" w:space="0" w:color="auto"/>
      </w:divBdr>
    </w:div>
    <w:div w:id="788161468">
      <w:bodyDiv w:val="1"/>
      <w:marLeft w:val="0"/>
      <w:marRight w:val="0"/>
      <w:marTop w:val="0"/>
      <w:marBottom w:val="0"/>
      <w:divBdr>
        <w:top w:val="none" w:sz="0" w:space="0" w:color="auto"/>
        <w:left w:val="none" w:sz="0" w:space="0" w:color="auto"/>
        <w:bottom w:val="none" w:sz="0" w:space="0" w:color="auto"/>
        <w:right w:val="none" w:sz="0" w:space="0" w:color="auto"/>
      </w:divBdr>
    </w:div>
    <w:div w:id="798691529">
      <w:bodyDiv w:val="1"/>
      <w:marLeft w:val="0"/>
      <w:marRight w:val="0"/>
      <w:marTop w:val="0"/>
      <w:marBottom w:val="0"/>
      <w:divBdr>
        <w:top w:val="none" w:sz="0" w:space="0" w:color="auto"/>
        <w:left w:val="none" w:sz="0" w:space="0" w:color="auto"/>
        <w:bottom w:val="none" w:sz="0" w:space="0" w:color="auto"/>
        <w:right w:val="none" w:sz="0" w:space="0" w:color="auto"/>
      </w:divBdr>
    </w:div>
    <w:div w:id="800683858">
      <w:bodyDiv w:val="1"/>
      <w:marLeft w:val="0"/>
      <w:marRight w:val="0"/>
      <w:marTop w:val="0"/>
      <w:marBottom w:val="0"/>
      <w:divBdr>
        <w:top w:val="none" w:sz="0" w:space="0" w:color="auto"/>
        <w:left w:val="none" w:sz="0" w:space="0" w:color="auto"/>
        <w:bottom w:val="none" w:sz="0" w:space="0" w:color="auto"/>
        <w:right w:val="none" w:sz="0" w:space="0" w:color="auto"/>
      </w:divBdr>
    </w:div>
    <w:div w:id="806319867">
      <w:bodyDiv w:val="1"/>
      <w:marLeft w:val="0"/>
      <w:marRight w:val="0"/>
      <w:marTop w:val="0"/>
      <w:marBottom w:val="0"/>
      <w:divBdr>
        <w:top w:val="none" w:sz="0" w:space="0" w:color="auto"/>
        <w:left w:val="none" w:sz="0" w:space="0" w:color="auto"/>
        <w:bottom w:val="none" w:sz="0" w:space="0" w:color="auto"/>
        <w:right w:val="none" w:sz="0" w:space="0" w:color="auto"/>
      </w:divBdr>
    </w:div>
    <w:div w:id="809203143">
      <w:bodyDiv w:val="1"/>
      <w:marLeft w:val="0"/>
      <w:marRight w:val="0"/>
      <w:marTop w:val="0"/>
      <w:marBottom w:val="0"/>
      <w:divBdr>
        <w:top w:val="none" w:sz="0" w:space="0" w:color="auto"/>
        <w:left w:val="none" w:sz="0" w:space="0" w:color="auto"/>
        <w:bottom w:val="none" w:sz="0" w:space="0" w:color="auto"/>
        <w:right w:val="none" w:sz="0" w:space="0" w:color="auto"/>
      </w:divBdr>
    </w:div>
    <w:div w:id="812333178">
      <w:bodyDiv w:val="1"/>
      <w:marLeft w:val="0"/>
      <w:marRight w:val="0"/>
      <w:marTop w:val="0"/>
      <w:marBottom w:val="0"/>
      <w:divBdr>
        <w:top w:val="none" w:sz="0" w:space="0" w:color="auto"/>
        <w:left w:val="none" w:sz="0" w:space="0" w:color="auto"/>
        <w:bottom w:val="none" w:sz="0" w:space="0" w:color="auto"/>
        <w:right w:val="none" w:sz="0" w:space="0" w:color="auto"/>
      </w:divBdr>
    </w:div>
    <w:div w:id="845750044">
      <w:bodyDiv w:val="1"/>
      <w:marLeft w:val="0"/>
      <w:marRight w:val="0"/>
      <w:marTop w:val="0"/>
      <w:marBottom w:val="0"/>
      <w:divBdr>
        <w:top w:val="none" w:sz="0" w:space="0" w:color="auto"/>
        <w:left w:val="none" w:sz="0" w:space="0" w:color="auto"/>
        <w:bottom w:val="none" w:sz="0" w:space="0" w:color="auto"/>
        <w:right w:val="none" w:sz="0" w:space="0" w:color="auto"/>
      </w:divBdr>
    </w:div>
    <w:div w:id="860582143">
      <w:bodyDiv w:val="1"/>
      <w:marLeft w:val="0"/>
      <w:marRight w:val="0"/>
      <w:marTop w:val="0"/>
      <w:marBottom w:val="0"/>
      <w:divBdr>
        <w:top w:val="none" w:sz="0" w:space="0" w:color="auto"/>
        <w:left w:val="none" w:sz="0" w:space="0" w:color="auto"/>
        <w:bottom w:val="none" w:sz="0" w:space="0" w:color="auto"/>
        <w:right w:val="none" w:sz="0" w:space="0" w:color="auto"/>
      </w:divBdr>
    </w:div>
    <w:div w:id="871455263">
      <w:bodyDiv w:val="1"/>
      <w:marLeft w:val="0"/>
      <w:marRight w:val="0"/>
      <w:marTop w:val="0"/>
      <w:marBottom w:val="0"/>
      <w:divBdr>
        <w:top w:val="none" w:sz="0" w:space="0" w:color="auto"/>
        <w:left w:val="none" w:sz="0" w:space="0" w:color="auto"/>
        <w:bottom w:val="none" w:sz="0" w:space="0" w:color="auto"/>
        <w:right w:val="none" w:sz="0" w:space="0" w:color="auto"/>
      </w:divBdr>
    </w:div>
    <w:div w:id="899832077">
      <w:bodyDiv w:val="1"/>
      <w:marLeft w:val="0"/>
      <w:marRight w:val="0"/>
      <w:marTop w:val="0"/>
      <w:marBottom w:val="0"/>
      <w:divBdr>
        <w:top w:val="none" w:sz="0" w:space="0" w:color="auto"/>
        <w:left w:val="none" w:sz="0" w:space="0" w:color="auto"/>
        <w:bottom w:val="none" w:sz="0" w:space="0" w:color="auto"/>
        <w:right w:val="none" w:sz="0" w:space="0" w:color="auto"/>
      </w:divBdr>
    </w:div>
    <w:div w:id="908425552">
      <w:bodyDiv w:val="1"/>
      <w:marLeft w:val="0"/>
      <w:marRight w:val="0"/>
      <w:marTop w:val="0"/>
      <w:marBottom w:val="0"/>
      <w:divBdr>
        <w:top w:val="none" w:sz="0" w:space="0" w:color="auto"/>
        <w:left w:val="none" w:sz="0" w:space="0" w:color="auto"/>
        <w:bottom w:val="none" w:sz="0" w:space="0" w:color="auto"/>
        <w:right w:val="none" w:sz="0" w:space="0" w:color="auto"/>
      </w:divBdr>
    </w:div>
    <w:div w:id="942228444">
      <w:bodyDiv w:val="1"/>
      <w:marLeft w:val="0"/>
      <w:marRight w:val="0"/>
      <w:marTop w:val="0"/>
      <w:marBottom w:val="0"/>
      <w:divBdr>
        <w:top w:val="none" w:sz="0" w:space="0" w:color="auto"/>
        <w:left w:val="none" w:sz="0" w:space="0" w:color="auto"/>
        <w:bottom w:val="none" w:sz="0" w:space="0" w:color="auto"/>
        <w:right w:val="none" w:sz="0" w:space="0" w:color="auto"/>
      </w:divBdr>
    </w:div>
    <w:div w:id="948394320">
      <w:bodyDiv w:val="1"/>
      <w:marLeft w:val="0"/>
      <w:marRight w:val="0"/>
      <w:marTop w:val="0"/>
      <w:marBottom w:val="0"/>
      <w:divBdr>
        <w:top w:val="none" w:sz="0" w:space="0" w:color="auto"/>
        <w:left w:val="none" w:sz="0" w:space="0" w:color="auto"/>
        <w:bottom w:val="none" w:sz="0" w:space="0" w:color="auto"/>
        <w:right w:val="none" w:sz="0" w:space="0" w:color="auto"/>
      </w:divBdr>
    </w:div>
    <w:div w:id="955217615">
      <w:bodyDiv w:val="1"/>
      <w:marLeft w:val="0"/>
      <w:marRight w:val="0"/>
      <w:marTop w:val="0"/>
      <w:marBottom w:val="0"/>
      <w:divBdr>
        <w:top w:val="none" w:sz="0" w:space="0" w:color="auto"/>
        <w:left w:val="none" w:sz="0" w:space="0" w:color="auto"/>
        <w:bottom w:val="none" w:sz="0" w:space="0" w:color="auto"/>
        <w:right w:val="none" w:sz="0" w:space="0" w:color="auto"/>
      </w:divBdr>
    </w:div>
    <w:div w:id="960573953">
      <w:bodyDiv w:val="1"/>
      <w:marLeft w:val="0"/>
      <w:marRight w:val="0"/>
      <w:marTop w:val="0"/>
      <w:marBottom w:val="0"/>
      <w:divBdr>
        <w:top w:val="none" w:sz="0" w:space="0" w:color="auto"/>
        <w:left w:val="none" w:sz="0" w:space="0" w:color="auto"/>
        <w:bottom w:val="none" w:sz="0" w:space="0" w:color="auto"/>
        <w:right w:val="none" w:sz="0" w:space="0" w:color="auto"/>
      </w:divBdr>
    </w:div>
    <w:div w:id="969825599">
      <w:bodyDiv w:val="1"/>
      <w:marLeft w:val="0"/>
      <w:marRight w:val="0"/>
      <w:marTop w:val="0"/>
      <w:marBottom w:val="0"/>
      <w:divBdr>
        <w:top w:val="none" w:sz="0" w:space="0" w:color="auto"/>
        <w:left w:val="none" w:sz="0" w:space="0" w:color="auto"/>
        <w:bottom w:val="none" w:sz="0" w:space="0" w:color="auto"/>
        <w:right w:val="none" w:sz="0" w:space="0" w:color="auto"/>
      </w:divBdr>
    </w:div>
    <w:div w:id="978729195">
      <w:bodyDiv w:val="1"/>
      <w:marLeft w:val="0"/>
      <w:marRight w:val="0"/>
      <w:marTop w:val="0"/>
      <w:marBottom w:val="0"/>
      <w:divBdr>
        <w:top w:val="none" w:sz="0" w:space="0" w:color="auto"/>
        <w:left w:val="none" w:sz="0" w:space="0" w:color="auto"/>
        <w:bottom w:val="none" w:sz="0" w:space="0" w:color="auto"/>
        <w:right w:val="none" w:sz="0" w:space="0" w:color="auto"/>
      </w:divBdr>
    </w:div>
    <w:div w:id="981538894">
      <w:bodyDiv w:val="1"/>
      <w:marLeft w:val="0"/>
      <w:marRight w:val="0"/>
      <w:marTop w:val="0"/>
      <w:marBottom w:val="0"/>
      <w:divBdr>
        <w:top w:val="none" w:sz="0" w:space="0" w:color="auto"/>
        <w:left w:val="none" w:sz="0" w:space="0" w:color="auto"/>
        <w:bottom w:val="none" w:sz="0" w:space="0" w:color="auto"/>
        <w:right w:val="none" w:sz="0" w:space="0" w:color="auto"/>
      </w:divBdr>
    </w:div>
    <w:div w:id="992638906">
      <w:bodyDiv w:val="1"/>
      <w:marLeft w:val="0"/>
      <w:marRight w:val="0"/>
      <w:marTop w:val="0"/>
      <w:marBottom w:val="0"/>
      <w:divBdr>
        <w:top w:val="none" w:sz="0" w:space="0" w:color="auto"/>
        <w:left w:val="none" w:sz="0" w:space="0" w:color="auto"/>
        <w:bottom w:val="none" w:sz="0" w:space="0" w:color="auto"/>
        <w:right w:val="none" w:sz="0" w:space="0" w:color="auto"/>
      </w:divBdr>
    </w:div>
    <w:div w:id="1000039172">
      <w:bodyDiv w:val="1"/>
      <w:marLeft w:val="0"/>
      <w:marRight w:val="0"/>
      <w:marTop w:val="0"/>
      <w:marBottom w:val="0"/>
      <w:divBdr>
        <w:top w:val="none" w:sz="0" w:space="0" w:color="auto"/>
        <w:left w:val="none" w:sz="0" w:space="0" w:color="auto"/>
        <w:bottom w:val="none" w:sz="0" w:space="0" w:color="auto"/>
        <w:right w:val="none" w:sz="0" w:space="0" w:color="auto"/>
      </w:divBdr>
    </w:div>
    <w:div w:id="1010909211">
      <w:bodyDiv w:val="1"/>
      <w:marLeft w:val="0"/>
      <w:marRight w:val="0"/>
      <w:marTop w:val="0"/>
      <w:marBottom w:val="0"/>
      <w:divBdr>
        <w:top w:val="none" w:sz="0" w:space="0" w:color="auto"/>
        <w:left w:val="none" w:sz="0" w:space="0" w:color="auto"/>
        <w:bottom w:val="none" w:sz="0" w:space="0" w:color="auto"/>
        <w:right w:val="none" w:sz="0" w:space="0" w:color="auto"/>
      </w:divBdr>
    </w:div>
    <w:div w:id="1013847717">
      <w:bodyDiv w:val="1"/>
      <w:marLeft w:val="0"/>
      <w:marRight w:val="0"/>
      <w:marTop w:val="0"/>
      <w:marBottom w:val="0"/>
      <w:divBdr>
        <w:top w:val="none" w:sz="0" w:space="0" w:color="auto"/>
        <w:left w:val="none" w:sz="0" w:space="0" w:color="auto"/>
        <w:bottom w:val="none" w:sz="0" w:space="0" w:color="auto"/>
        <w:right w:val="none" w:sz="0" w:space="0" w:color="auto"/>
      </w:divBdr>
    </w:div>
    <w:div w:id="1037850941">
      <w:bodyDiv w:val="1"/>
      <w:marLeft w:val="0"/>
      <w:marRight w:val="0"/>
      <w:marTop w:val="0"/>
      <w:marBottom w:val="0"/>
      <w:divBdr>
        <w:top w:val="none" w:sz="0" w:space="0" w:color="auto"/>
        <w:left w:val="none" w:sz="0" w:space="0" w:color="auto"/>
        <w:bottom w:val="none" w:sz="0" w:space="0" w:color="auto"/>
        <w:right w:val="none" w:sz="0" w:space="0" w:color="auto"/>
      </w:divBdr>
    </w:div>
    <w:div w:id="1058014283">
      <w:bodyDiv w:val="1"/>
      <w:marLeft w:val="0"/>
      <w:marRight w:val="0"/>
      <w:marTop w:val="0"/>
      <w:marBottom w:val="0"/>
      <w:divBdr>
        <w:top w:val="none" w:sz="0" w:space="0" w:color="auto"/>
        <w:left w:val="none" w:sz="0" w:space="0" w:color="auto"/>
        <w:bottom w:val="none" w:sz="0" w:space="0" w:color="auto"/>
        <w:right w:val="none" w:sz="0" w:space="0" w:color="auto"/>
      </w:divBdr>
    </w:div>
    <w:div w:id="1069233979">
      <w:bodyDiv w:val="1"/>
      <w:marLeft w:val="0"/>
      <w:marRight w:val="0"/>
      <w:marTop w:val="0"/>
      <w:marBottom w:val="0"/>
      <w:divBdr>
        <w:top w:val="none" w:sz="0" w:space="0" w:color="auto"/>
        <w:left w:val="none" w:sz="0" w:space="0" w:color="auto"/>
        <w:bottom w:val="none" w:sz="0" w:space="0" w:color="auto"/>
        <w:right w:val="none" w:sz="0" w:space="0" w:color="auto"/>
      </w:divBdr>
    </w:div>
    <w:div w:id="1080450193">
      <w:bodyDiv w:val="1"/>
      <w:marLeft w:val="0"/>
      <w:marRight w:val="0"/>
      <w:marTop w:val="0"/>
      <w:marBottom w:val="0"/>
      <w:divBdr>
        <w:top w:val="none" w:sz="0" w:space="0" w:color="auto"/>
        <w:left w:val="none" w:sz="0" w:space="0" w:color="auto"/>
        <w:bottom w:val="none" w:sz="0" w:space="0" w:color="auto"/>
        <w:right w:val="none" w:sz="0" w:space="0" w:color="auto"/>
      </w:divBdr>
    </w:div>
    <w:div w:id="1081025206">
      <w:bodyDiv w:val="1"/>
      <w:marLeft w:val="0"/>
      <w:marRight w:val="0"/>
      <w:marTop w:val="0"/>
      <w:marBottom w:val="0"/>
      <w:divBdr>
        <w:top w:val="none" w:sz="0" w:space="0" w:color="auto"/>
        <w:left w:val="none" w:sz="0" w:space="0" w:color="auto"/>
        <w:bottom w:val="none" w:sz="0" w:space="0" w:color="auto"/>
        <w:right w:val="none" w:sz="0" w:space="0" w:color="auto"/>
      </w:divBdr>
    </w:div>
    <w:div w:id="1082144682">
      <w:bodyDiv w:val="1"/>
      <w:marLeft w:val="0"/>
      <w:marRight w:val="0"/>
      <w:marTop w:val="0"/>
      <w:marBottom w:val="0"/>
      <w:divBdr>
        <w:top w:val="none" w:sz="0" w:space="0" w:color="auto"/>
        <w:left w:val="none" w:sz="0" w:space="0" w:color="auto"/>
        <w:bottom w:val="none" w:sz="0" w:space="0" w:color="auto"/>
        <w:right w:val="none" w:sz="0" w:space="0" w:color="auto"/>
      </w:divBdr>
    </w:div>
    <w:div w:id="1095831501">
      <w:bodyDiv w:val="1"/>
      <w:marLeft w:val="0"/>
      <w:marRight w:val="0"/>
      <w:marTop w:val="0"/>
      <w:marBottom w:val="0"/>
      <w:divBdr>
        <w:top w:val="none" w:sz="0" w:space="0" w:color="auto"/>
        <w:left w:val="none" w:sz="0" w:space="0" w:color="auto"/>
        <w:bottom w:val="none" w:sz="0" w:space="0" w:color="auto"/>
        <w:right w:val="none" w:sz="0" w:space="0" w:color="auto"/>
      </w:divBdr>
    </w:div>
    <w:div w:id="1097555258">
      <w:bodyDiv w:val="1"/>
      <w:marLeft w:val="0"/>
      <w:marRight w:val="0"/>
      <w:marTop w:val="0"/>
      <w:marBottom w:val="0"/>
      <w:divBdr>
        <w:top w:val="none" w:sz="0" w:space="0" w:color="auto"/>
        <w:left w:val="none" w:sz="0" w:space="0" w:color="auto"/>
        <w:bottom w:val="none" w:sz="0" w:space="0" w:color="auto"/>
        <w:right w:val="none" w:sz="0" w:space="0" w:color="auto"/>
      </w:divBdr>
    </w:div>
    <w:div w:id="1104613944">
      <w:bodyDiv w:val="1"/>
      <w:marLeft w:val="0"/>
      <w:marRight w:val="0"/>
      <w:marTop w:val="0"/>
      <w:marBottom w:val="0"/>
      <w:divBdr>
        <w:top w:val="none" w:sz="0" w:space="0" w:color="auto"/>
        <w:left w:val="none" w:sz="0" w:space="0" w:color="auto"/>
        <w:bottom w:val="none" w:sz="0" w:space="0" w:color="auto"/>
        <w:right w:val="none" w:sz="0" w:space="0" w:color="auto"/>
      </w:divBdr>
    </w:div>
    <w:div w:id="1115557944">
      <w:bodyDiv w:val="1"/>
      <w:marLeft w:val="0"/>
      <w:marRight w:val="0"/>
      <w:marTop w:val="0"/>
      <w:marBottom w:val="0"/>
      <w:divBdr>
        <w:top w:val="none" w:sz="0" w:space="0" w:color="auto"/>
        <w:left w:val="none" w:sz="0" w:space="0" w:color="auto"/>
        <w:bottom w:val="none" w:sz="0" w:space="0" w:color="auto"/>
        <w:right w:val="none" w:sz="0" w:space="0" w:color="auto"/>
      </w:divBdr>
    </w:div>
    <w:div w:id="1141918027">
      <w:bodyDiv w:val="1"/>
      <w:marLeft w:val="0"/>
      <w:marRight w:val="0"/>
      <w:marTop w:val="0"/>
      <w:marBottom w:val="0"/>
      <w:divBdr>
        <w:top w:val="none" w:sz="0" w:space="0" w:color="auto"/>
        <w:left w:val="none" w:sz="0" w:space="0" w:color="auto"/>
        <w:bottom w:val="none" w:sz="0" w:space="0" w:color="auto"/>
        <w:right w:val="none" w:sz="0" w:space="0" w:color="auto"/>
      </w:divBdr>
    </w:div>
    <w:div w:id="1164318017">
      <w:bodyDiv w:val="1"/>
      <w:marLeft w:val="0"/>
      <w:marRight w:val="0"/>
      <w:marTop w:val="0"/>
      <w:marBottom w:val="0"/>
      <w:divBdr>
        <w:top w:val="none" w:sz="0" w:space="0" w:color="auto"/>
        <w:left w:val="none" w:sz="0" w:space="0" w:color="auto"/>
        <w:bottom w:val="none" w:sz="0" w:space="0" w:color="auto"/>
        <w:right w:val="none" w:sz="0" w:space="0" w:color="auto"/>
      </w:divBdr>
    </w:div>
    <w:div w:id="1178614878">
      <w:bodyDiv w:val="1"/>
      <w:marLeft w:val="0"/>
      <w:marRight w:val="0"/>
      <w:marTop w:val="0"/>
      <w:marBottom w:val="0"/>
      <w:divBdr>
        <w:top w:val="none" w:sz="0" w:space="0" w:color="auto"/>
        <w:left w:val="none" w:sz="0" w:space="0" w:color="auto"/>
        <w:bottom w:val="none" w:sz="0" w:space="0" w:color="auto"/>
        <w:right w:val="none" w:sz="0" w:space="0" w:color="auto"/>
      </w:divBdr>
    </w:div>
    <w:div w:id="1180698252">
      <w:bodyDiv w:val="1"/>
      <w:marLeft w:val="0"/>
      <w:marRight w:val="0"/>
      <w:marTop w:val="0"/>
      <w:marBottom w:val="0"/>
      <w:divBdr>
        <w:top w:val="none" w:sz="0" w:space="0" w:color="auto"/>
        <w:left w:val="none" w:sz="0" w:space="0" w:color="auto"/>
        <w:bottom w:val="none" w:sz="0" w:space="0" w:color="auto"/>
        <w:right w:val="none" w:sz="0" w:space="0" w:color="auto"/>
      </w:divBdr>
    </w:div>
    <w:div w:id="1195535527">
      <w:bodyDiv w:val="1"/>
      <w:marLeft w:val="0"/>
      <w:marRight w:val="0"/>
      <w:marTop w:val="0"/>
      <w:marBottom w:val="0"/>
      <w:divBdr>
        <w:top w:val="none" w:sz="0" w:space="0" w:color="auto"/>
        <w:left w:val="none" w:sz="0" w:space="0" w:color="auto"/>
        <w:bottom w:val="none" w:sz="0" w:space="0" w:color="auto"/>
        <w:right w:val="none" w:sz="0" w:space="0" w:color="auto"/>
      </w:divBdr>
    </w:div>
    <w:div w:id="1225530674">
      <w:bodyDiv w:val="1"/>
      <w:marLeft w:val="0"/>
      <w:marRight w:val="0"/>
      <w:marTop w:val="0"/>
      <w:marBottom w:val="0"/>
      <w:divBdr>
        <w:top w:val="none" w:sz="0" w:space="0" w:color="auto"/>
        <w:left w:val="none" w:sz="0" w:space="0" w:color="auto"/>
        <w:bottom w:val="none" w:sz="0" w:space="0" w:color="auto"/>
        <w:right w:val="none" w:sz="0" w:space="0" w:color="auto"/>
      </w:divBdr>
    </w:div>
    <w:div w:id="1231036604">
      <w:bodyDiv w:val="1"/>
      <w:marLeft w:val="0"/>
      <w:marRight w:val="0"/>
      <w:marTop w:val="0"/>
      <w:marBottom w:val="0"/>
      <w:divBdr>
        <w:top w:val="none" w:sz="0" w:space="0" w:color="auto"/>
        <w:left w:val="none" w:sz="0" w:space="0" w:color="auto"/>
        <w:bottom w:val="none" w:sz="0" w:space="0" w:color="auto"/>
        <w:right w:val="none" w:sz="0" w:space="0" w:color="auto"/>
      </w:divBdr>
    </w:div>
    <w:div w:id="1240795826">
      <w:bodyDiv w:val="1"/>
      <w:marLeft w:val="0"/>
      <w:marRight w:val="0"/>
      <w:marTop w:val="0"/>
      <w:marBottom w:val="0"/>
      <w:divBdr>
        <w:top w:val="none" w:sz="0" w:space="0" w:color="auto"/>
        <w:left w:val="none" w:sz="0" w:space="0" w:color="auto"/>
        <w:bottom w:val="none" w:sz="0" w:space="0" w:color="auto"/>
        <w:right w:val="none" w:sz="0" w:space="0" w:color="auto"/>
      </w:divBdr>
    </w:div>
    <w:div w:id="1240946899">
      <w:bodyDiv w:val="1"/>
      <w:marLeft w:val="0"/>
      <w:marRight w:val="0"/>
      <w:marTop w:val="0"/>
      <w:marBottom w:val="0"/>
      <w:divBdr>
        <w:top w:val="none" w:sz="0" w:space="0" w:color="auto"/>
        <w:left w:val="none" w:sz="0" w:space="0" w:color="auto"/>
        <w:bottom w:val="none" w:sz="0" w:space="0" w:color="auto"/>
        <w:right w:val="none" w:sz="0" w:space="0" w:color="auto"/>
      </w:divBdr>
    </w:div>
    <w:div w:id="1251547732">
      <w:bodyDiv w:val="1"/>
      <w:marLeft w:val="0"/>
      <w:marRight w:val="0"/>
      <w:marTop w:val="0"/>
      <w:marBottom w:val="0"/>
      <w:divBdr>
        <w:top w:val="none" w:sz="0" w:space="0" w:color="auto"/>
        <w:left w:val="none" w:sz="0" w:space="0" w:color="auto"/>
        <w:bottom w:val="none" w:sz="0" w:space="0" w:color="auto"/>
        <w:right w:val="none" w:sz="0" w:space="0" w:color="auto"/>
      </w:divBdr>
    </w:div>
    <w:div w:id="1251819042">
      <w:bodyDiv w:val="1"/>
      <w:marLeft w:val="0"/>
      <w:marRight w:val="0"/>
      <w:marTop w:val="0"/>
      <w:marBottom w:val="0"/>
      <w:divBdr>
        <w:top w:val="none" w:sz="0" w:space="0" w:color="auto"/>
        <w:left w:val="none" w:sz="0" w:space="0" w:color="auto"/>
        <w:bottom w:val="none" w:sz="0" w:space="0" w:color="auto"/>
        <w:right w:val="none" w:sz="0" w:space="0" w:color="auto"/>
      </w:divBdr>
    </w:div>
    <w:div w:id="1255087864">
      <w:bodyDiv w:val="1"/>
      <w:marLeft w:val="0"/>
      <w:marRight w:val="0"/>
      <w:marTop w:val="0"/>
      <w:marBottom w:val="0"/>
      <w:divBdr>
        <w:top w:val="none" w:sz="0" w:space="0" w:color="auto"/>
        <w:left w:val="none" w:sz="0" w:space="0" w:color="auto"/>
        <w:bottom w:val="none" w:sz="0" w:space="0" w:color="auto"/>
        <w:right w:val="none" w:sz="0" w:space="0" w:color="auto"/>
      </w:divBdr>
    </w:div>
    <w:div w:id="1268004032">
      <w:bodyDiv w:val="1"/>
      <w:marLeft w:val="0"/>
      <w:marRight w:val="0"/>
      <w:marTop w:val="0"/>
      <w:marBottom w:val="0"/>
      <w:divBdr>
        <w:top w:val="none" w:sz="0" w:space="0" w:color="auto"/>
        <w:left w:val="none" w:sz="0" w:space="0" w:color="auto"/>
        <w:bottom w:val="none" w:sz="0" w:space="0" w:color="auto"/>
        <w:right w:val="none" w:sz="0" w:space="0" w:color="auto"/>
      </w:divBdr>
    </w:div>
    <w:div w:id="1304696919">
      <w:bodyDiv w:val="1"/>
      <w:marLeft w:val="0"/>
      <w:marRight w:val="0"/>
      <w:marTop w:val="0"/>
      <w:marBottom w:val="0"/>
      <w:divBdr>
        <w:top w:val="none" w:sz="0" w:space="0" w:color="auto"/>
        <w:left w:val="none" w:sz="0" w:space="0" w:color="auto"/>
        <w:bottom w:val="none" w:sz="0" w:space="0" w:color="auto"/>
        <w:right w:val="none" w:sz="0" w:space="0" w:color="auto"/>
      </w:divBdr>
    </w:div>
    <w:div w:id="1341659872">
      <w:bodyDiv w:val="1"/>
      <w:marLeft w:val="0"/>
      <w:marRight w:val="0"/>
      <w:marTop w:val="0"/>
      <w:marBottom w:val="0"/>
      <w:divBdr>
        <w:top w:val="none" w:sz="0" w:space="0" w:color="auto"/>
        <w:left w:val="none" w:sz="0" w:space="0" w:color="auto"/>
        <w:bottom w:val="none" w:sz="0" w:space="0" w:color="auto"/>
        <w:right w:val="none" w:sz="0" w:space="0" w:color="auto"/>
      </w:divBdr>
    </w:div>
    <w:div w:id="1398430516">
      <w:bodyDiv w:val="1"/>
      <w:marLeft w:val="0"/>
      <w:marRight w:val="0"/>
      <w:marTop w:val="0"/>
      <w:marBottom w:val="0"/>
      <w:divBdr>
        <w:top w:val="none" w:sz="0" w:space="0" w:color="auto"/>
        <w:left w:val="none" w:sz="0" w:space="0" w:color="auto"/>
        <w:bottom w:val="none" w:sz="0" w:space="0" w:color="auto"/>
        <w:right w:val="none" w:sz="0" w:space="0" w:color="auto"/>
      </w:divBdr>
    </w:div>
    <w:div w:id="1404792451">
      <w:bodyDiv w:val="1"/>
      <w:marLeft w:val="0"/>
      <w:marRight w:val="0"/>
      <w:marTop w:val="0"/>
      <w:marBottom w:val="0"/>
      <w:divBdr>
        <w:top w:val="none" w:sz="0" w:space="0" w:color="auto"/>
        <w:left w:val="none" w:sz="0" w:space="0" w:color="auto"/>
        <w:bottom w:val="none" w:sz="0" w:space="0" w:color="auto"/>
        <w:right w:val="none" w:sz="0" w:space="0" w:color="auto"/>
      </w:divBdr>
    </w:div>
    <w:div w:id="1408041324">
      <w:bodyDiv w:val="1"/>
      <w:marLeft w:val="0"/>
      <w:marRight w:val="0"/>
      <w:marTop w:val="0"/>
      <w:marBottom w:val="0"/>
      <w:divBdr>
        <w:top w:val="none" w:sz="0" w:space="0" w:color="auto"/>
        <w:left w:val="none" w:sz="0" w:space="0" w:color="auto"/>
        <w:bottom w:val="none" w:sz="0" w:space="0" w:color="auto"/>
        <w:right w:val="none" w:sz="0" w:space="0" w:color="auto"/>
      </w:divBdr>
    </w:div>
    <w:div w:id="1415739855">
      <w:bodyDiv w:val="1"/>
      <w:marLeft w:val="0"/>
      <w:marRight w:val="0"/>
      <w:marTop w:val="0"/>
      <w:marBottom w:val="0"/>
      <w:divBdr>
        <w:top w:val="none" w:sz="0" w:space="0" w:color="auto"/>
        <w:left w:val="none" w:sz="0" w:space="0" w:color="auto"/>
        <w:bottom w:val="none" w:sz="0" w:space="0" w:color="auto"/>
        <w:right w:val="none" w:sz="0" w:space="0" w:color="auto"/>
      </w:divBdr>
    </w:div>
    <w:div w:id="1427844958">
      <w:bodyDiv w:val="1"/>
      <w:marLeft w:val="0"/>
      <w:marRight w:val="0"/>
      <w:marTop w:val="0"/>
      <w:marBottom w:val="0"/>
      <w:divBdr>
        <w:top w:val="none" w:sz="0" w:space="0" w:color="auto"/>
        <w:left w:val="none" w:sz="0" w:space="0" w:color="auto"/>
        <w:bottom w:val="none" w:sz="0" w:space="0" w:color="auto"/>
        <w:right w:val="none" w:sz="0" w:space="0" w:color="auto"/>
      </w:divBdr>
    </w:div>
    <w:div w:id="1437746148">
      <w:bodyDiv w:val="1"/>
      <w:marLeft w:val="0"/>
      <w:marRight w:val="0"/>
      <w:marTop w:val="0"/>
      <w:marBottom w:val="0"/>
      <w:divBdr>
        <w:top w:val="none" w:sz="0" w:space="0" w:color="auto"/>
        <w:left w:val="none" w:sz="0" w:space="0" w:color="auto"/>
        <w:bottom w:val="none" w:sz="0" w:space="0" w:color="auto"/>
        <w:right w:val="none" w:sz="0" w:space="0" w:color="auto"/>
      </w:divBdr>
    </w:div>
    <w:div w:id="1441954977">
      <w:bodyDiv w:val="1"/>
      <w:marLeft w:val="0"/>
      <w:marRight w:val="0"/>
      <w:marTop w:val="0"/>
      <w:marBottom w:val="0"/>
      <w:divBdr>
        <w:top w:val="none" w:sz="0" w:space="0" w:color="auto"/>
        <w:left w:val="none" w:sz="0" w:space="0" w:color="auto"/>
        <w:bottom w:val="none" w:sz="0" w:space="0" w:color="auto"/>
        <w:right w:val="none" w:sz="0" w:space="0" w:color="auto"/>
      </w:divBdr>
    </w:div>
    <w:div w:id="1462914871">
      <w:bodyDiv w:val="1"/>
      <w:marLeft w:val="0"/>
      <w:marRight w:val="0"/>
      <w:marTop w:val="0"/>
      <w:marBottom w:val="0"/>
      <w:divBdr>
        <w:top w:val="none" w:sz="0" w:space="0" w:color="auto"/>
        <w:left w:val="none" w:sz="0" w:space="0" w:color="auto"/>
        <w:bottom w:val="none" w:sz="0" w:space="0" w:color="auto"/>
        <w:right w:val="none" w:sz="0" w:space="0" w:color="auto"/>
      </w:divBdr>
    </w:div>
    <w:div w:id="1467896277">
      <w:bodyDiv w:val="1"/>
      <w:marLeft w:val="0"/>
      <w:marRight w:val="0"/>
      <w:marTop w:val="0"/>
      <w:marBottom w:val="0"/>
      <w:divBdr>
        <w:top w:val="none" w:sz="0" w:space="0" w:color="auto"/>
        <w:left w:val="none" w:sz="0" w:space="0" w:color="auto"/>
        <w:bottom w:val="none" w:sz="0" w:space="0" w:color="auto"/>
        <w:right w:val="none" w:sz="0" w:space="0" w:color="auto"/>
      </w:divBdr>
    </w:div>
    <w:div w:id="1481922342">
      <w:bodyDiv w:val="1"/>
      <w:marLeft w:val="0"/>
      <w:marRight w:val="0"/>
      <w:marTop w:val="0"/>
      <w:marBottom w:val="0"/>
      <w:divBdr>
        <w:top w:val="none" w:sz="0" w:space="0" w:color="auto"/>
        <w:left w:val="none" w:sz="0" w:space="0" w:color="auto"/>
        <w:bottom w:val="none" w:sz="0" w:space="0" w:color="auto"/>
        <w:right w:val="none" w:sz="0" w:space="0" w:color="auto"/>
      </w:divBdr>
    </w:div>
    <w:div w:id="1485588148">
      <w:bodyDiv w:val="1"/>
      <w:marLeft w:val="0"/>
      <w:marRight w:val="0"/>
      <w:marTop w:val="0"/>
      <w:marBottom w:val="0"/>
      <w:divBdr>
        <w:top w:val="none" w:sz="0" w:space="0" w:color="auto"/>
        <w:left w:val="none" w:sz="0" w:space="0" w:color="auto"/>
        <w:bottom w:val="none" w:sz="0" w:space="0" w:color="auto"/>
        <w:right w:val="none" w:sz="0" w:space="0" w:color="auto"/>
      </w:divBdr>
    </w:div>
    <w:div w:id="1494638714">
      <w:bodyDiv w:val="1"/>
      <w:marLeft w:val="0"/>
      <w:marRight w:val="0"/>
      <w:marTop w:val="0"/>
      <w:marBottom w:val="0"/>
      <w:divBdr>
        <w:top w:val="none" w:sz="0" w:space="0" w:color="auto"/>
        <w:left w:val="none" w:sz="0" w:space="0" w:color="auto"/>
        <w:bottom w:val="none" w:sz="0" w:space="0" w:color="auto"/>
        <w:right w:val="none" w:sz="0" w:space="0" w:color="auto"/>
      </w:divBdr>
    </w:div>
    <w:div w:id="1502348951">
      <w:bodyDiv w:val="1"/>
      <w:marLeft w:val="0"/>
      <w:marRight w:val="0"/>
      <w:marTop w:val="0"/>
      <w:marBottom w:val="0"/>
      <w:divBdr>
        <w:top w:val="none" w:sz="0" w:space="0" w:color="auto"/>
        <w:left w:val="none" w:sz="0" w:space="0" w:color="auto"/>
        <w:bottom w:val="none" w:sz="0" w:space="0" w:color="auto"/>
        <w:right w:val="none" w:sz="0" w:space="0" w:color="auto"/>
      </w:divBdr>
    </w:div>
    <w:div w:id="1509710319">
      <w:bodyDiv w:val="1"/>
      <w:marLeft w:val="0"/>
      <w:marRight w:val="0"/>
      <w:marTop w:val="0"/>
      <w:marBottom w:val="0"/>
      <w:divBdr>
        <w:top w:val="none" w:sz="0" w:space="0" w:color="auto"/>
        <w:left w:val="none" w:sz="0" w:space="0" w:color="auto"/>
        <w:bottom w:val="none" w:sz="0" w:space="0" w:color="auto"/>
        <w:right w:val="none" w:sz="0" w:space="0" w:color="auto"/>
      </w:divBdr>
    </w:div>
    <w:div w:id="1527405516">
      <w:bodyDiv w:val="1"/>
      <w:marLeft w:val="0"/>
      <w:marRight w:val="0"/>
      <w:marTop w:val="0"/>
      <w:marBottom w:val="0"/>
      <w:divBdr>
        <w:top w:val="none" w:sz="0" w:space="0" w:color="auto"/>
        <w:left w:val="none" w:sz="0" w:space="0" w:color="auto"/>
        <w:bottom w:val="none" w:sz="0" w:space="0" w:color="auto"/>
        <w:right w:val="none" w:sz="0" w:space="0" w:color="auto"/>
      </w:divBdr>
    </w:div>
    <w:div w:id="1547334979">
      <w:bodyDiv w:val="1"/>
      <w:marLeft w:val="0"/>
      <w:marRight w:val="0"/>
      <w:marTop w:val="0"/>
      <w:marBottom w:val="0"/>
      <w:divBdr>
        <w:top w:val="none" w:sz="0" w:space="0" w:color="auto"/>
        <w:left w:val="none" w:sz="0" w:space="0" w:color="auto"/>
        <w:bottom w:val="none" w:sz="0" w:space="0" w:color="auto"/>
        <w:right w:val="none" w:sz="0" w:space="0" w:color="auto"/>
      </w:divBdr>
    </w:div>
    <w:div w:id="1549296194">
      <w:bodyDiv w:val="1"/>
      <w:marLeft w:val="0"/>
      <w:marRight w:val="0"/>
      <w:marTop w:val="0"/>
      <w:marBottom w:val="0"/>
      <w:divBdr>
        <w:top w:val="none" w:sz="0" w:space="0" w:color="auto"/>
        <w:left w:val="none" w:sz="0" w:space="0" w:color="auto"/>
        <w:bottom w:val="none" w:sz="0" w:space="0" w:color="auto"/>
        <w:right w:val="none" w:sz="0" w:space="0" w:color="auto"/>
      </w:divBdr>
    </w:div>
    <w:div w:id="1557542966">
      <w:bodyDiv w:val="1"/>
      <w:marLeft w:val="0"/>
      <w:marRight w:val="0"/>
      <w:marTop w:val="0"/>
      <w:marBottom w:val="0"/>
      <w:divBdr>
        <w:top w:val="none" w:sz="0" w:space="0" w:color="auto"/>
        <w:left w:val="none" w:sz="0" w:space="0" w:color="auto"/>
        <w:bottom w:val="none" w:sz="0" w:space="0" w:color="auto"/>
        <w:right w:val="none" w:sz="0" w:space="0" w:color="auto"/>
      </w:divBdr>
    </w:div>
    <w:div w:id="1562331412">
      <w:bodyDiv w:val="1"/>
      <w:marLeft w:val="0"/>
      <w:marRight w:val="0"/>
      <w:marTop w:val="0"/>
      <w:marBottom w:val="0"/>
      <w:divBdr>
        <w:top w:val="none" w:sz="0" w:space="0" w:color="auto"/>
        <w:left w:val="none" w:sz="0" w:space="0" w:color="auto"/>
        <w:bottom w:val="none" w:sz="0" w:space="0" w:color="auto"/>
        <w:right w:val="none" w:sz="0" w:space="0" w:color="auto"/>
      </w:divBdr>
      <w:divsChild>
        <w:div w:id="772093211">
          <w:marLeft w:val="274"/>
          <w:marRight w:val="0"/>
          <w:marTop w:val="120"/>
          <w:marBottom w:val="0"/>
          <w:divBdr>
            <w:top w:val="none" w:sz="0" w:space="0" w:color="auto"/>
            <w:left w:val="none" w:sz="0" w:space="0" w:color="auto"/>
            <w:bottom w:val="none" w:sz="0" w:space="0" w:color="auto"/>
            <w:right w:val="none" w:sz="0" w:space="0" w:color="auto"/>
          </w:divBdr>
        </w:div>
        <w:div w:id="1538205010">
          <w:marLeft w:val="274"/>
          <w:marRight w:val="0"/>
          <w:marTop w:val="120"/>
          <w:marBottom w:val="0"/>
          <w:divBdr>
            <w:top w:val="none" w:sz="0" w:space="0" w:color="auto"/>
            <w:left w:val="none" w:sz="0" w:space="0" w:color="auto"/>
            <w:bottom w:val="none" w:sz="0" w:space="0" w:color="auto"/>
            <w:right w:val="none" w:sz="0" w:space="0" w:color="auto"/>
          </w:divBdr>
        </w:div>
        <w:div w:id="1957905135">
          <w:marLeft w:val="274"/>
          <w:marRight w:val="0"/>
          <w:marTop w:val="120"/>
          <w:marBottom w:val="0"/>
          <w:divBdr>
            <w:top w:val="none" w:sz="0" w:space="0" w:color="auto"/>
            <w:left w:val="none" w:sz="0" w:space="0" w:color="auto"/>
            <w:bottom w:val="none" w:sz="0" w:space="0" w:color="auto"/>
            <w:right w:val="none" w:sz="0" w:space="0" w:color="auto"/>
          </w:divBdr>
        </w:div>
      </w:divsChild>
    </w:div>
    <w:div w:id="1574271732">
      <w:bodyDiv w:val="1"/>
      <w:marLeft w:val="0"/>
      <w:marRight w:val="0"/>
      <w:marTop w:val="0"/>
      <w:marBottom w:val="0"/>
      <w:divBdr>
        <w:top w:val="none" w:sz="0" w:space="0" w:color="auto"/>
        <w:left w:val="none" w:sz="0" w:space="0" w:color="auto"/>
        <w:bottom w:val="none" w:sz="0" w:space="0" w:color="auto"/>
        <w:right w:val="none" w:sz="0" w:space="0" w:color="auto"/>
      </w:divBdr>
    </w:div>
    <w:div w:id="1581985400">
      <w:bodyDiv w:val="1"/>
      <w:marLeft w:val="0"/>
      <w:marRight w:val="0"/>
      <w:marTop w:val="0"/>
      <w:marBottom w:val="0"/>
      <w:divBdr>
        <w:top w:val="none" w:sz="0" w:space="0" w:color="auto"/>
        <w:left w:val="none" w:sz="0" w:space="0" w:color="auto"/>
        <w:bottom w:val="none" w:sz="0" w:space="0" w:color="auto"/>
        <w:right w:val="none" w:sz="0" w:space="0" w:color="auto"/>
      </w:divBdr>
    </w:div>
    <w:div w:id="1585526561">
      <w:bodyDiv w:val="1"/>
      <w:marLeft w:val="0"/>
      <w:marRight w:val="0"/>
      <w:marTop w:val="0"/>
      <w:marBottom w:val="0"/>
      <w:divBdr>
        <w:top w:val="none" w:sz="0" w:space="0" w:color="auto"/>
        <w:left w:val="none" w:sz="0" w:space="0" w:color="auto"/>
        <w:bottom w:val="none" w:sz="0" w:space="0" w:color="auto"/>
        <w:right w:val="none" w:sz="0" w:space="0" w:color="auto"/>
      </w:divBdr>
    </w:div>
    <w:div w:id="1600329437">
      <w:bodyDiv w:val="1"/>
      <w:marLeft w:val="0"/>
      <w:marRight w:val="0"/>
      <w:marTop w:val="0"/>
      <w:marBottom w:val="0"/>
      <w:divBdr>
        <w:top w:val="none" w:sz="0" w:space="0" w:color="auto"/>
        <w:left w:val="none" w:sz="0" w:space="0" w:color="auto"/>
        <w:bottom w:val="none" w:sz="0" w:space="0" w:color="auto"/>
        <w:right w:val="none" w:sz="0" w:space="0" w:color="auto"/>
      </w:divBdr>
    </w:div>
    <w:div w:id="1616986534">
      <w:bodyDiv w:val="1"/>
      <w:marLeft w:val="0"/>
      <w:marRight w:val="0"/>
      <w:marTop w:val="0"/>
      <w:marBottom w:val="0"/>
      <w:divBdr>
        <w:top w:val="none" w:sz="0" w:space="0" w:color="auto"/>
        <w:left w:val="none" w:sz="0" w:space="0" w:color="auto"/>
        <w:bottom w:val="none" w:sz="0" w:space="0" w:color="auto"/>
        <w:right w:val="none" w:sz="0" w:space="0" w:color="auto"/>
      </w:divBdr>
    </w:div>
    <w:div w:id="1625430516">
      <w:bodyDiv w:val="1"/>
      <w:marLeft w:val="0"/>
      <w:marRight w:val="0"/>
      <w:marTop w:val="0"/>
      <w:marBottom w:val="0"/>
      <w:divBdr>
        <w:top w:val="none" w:sz="0" w:space="0" w:color="auto"/>
        <w:left w:val="none" w:sz="0" w:space="0" w:color="auto"/>
        <w:bottom w:val="none" w:sz="0" w:space="0" w:color="auto"/>
        <w:right w:val="none" w:sz="0" w:space="0" w:color="auto"/>
      </w:divBdr>
    </w:div>
    <w:div w:id="1640840586">
      <w:bodyDiv w:val="1"/>
      <w:marLeft w:val="0"/>
      <w:marRight w:val="0"/>
      <w:marTop w:val="0"/>
      <w:marBottom w:val="0"/>
      <w:divBdr>
        <w:top w:val="none" w:sz="0" w:space="0" w:color="auto"/>
        <w:left w:val="none" w:sz="0" w:space="0" w:color="auto"/>
        <w:bottom w:val="none" w:sz="0" w:space="0" w:color="auto"/>
        <w:right w:val="none" w:sz="0" w:space="0" w:color="auto"/>
      </w:divBdr>
    </w:div>
    <w:div w:id="1650942306">
      <w:bodyDiv w:val="1"/>
      <w:marLeft w:val="0"/>
      <w:marRight w:val="0"/>
      <w:marTop w:val="0"/>
      <w:marBottom w:val="0"/>
      <w:divBdr>
        <w:top w:val="none" w:sz="0" w:space="0" w:color="auto"/>
        <w:left w:val="none" w:sz="0" w:space="0" w:color="auto"/>
        <w:bottom w:val="none" w:sz="0" w:space="0" w:color="auto"/>
        <w:right w:val="none" w:sz="0" w:space="0" w:color="auto"/>
      </w:divBdr>
    </w:div>
    <w:div w:id="1657755830">
      <w:bodyDiv w:val="1"/>
      <w:marLeft w:val="0"/>
      <w:marRight w:val="0"/>
      <w:marTop w:val="0"/>
      <w:marBottom w:val="0"/>
      <w:divBdr>
        <w:top w:val="none" w:sz="0" w:space="0" w:color="auto"/>
        <w:left w:val="none" w:sz="0" w:space="0" w:color="auto"/>
        <w:bottom w:val="none" w:sz="0" w:space="0" w:color="auto"/>
        <w:right w:val="none" w:sz="0" w:space="0" w:color="auto"/>
      </w:divBdr>
    </w:div>
    <w:div w:id="1690717400">
      <w:bodyDiv w:val="1"/>
      <w:marLeft w:val="0"/>
      <w:marRight w:val="0"/>
      <w:marTop w:val="0"/>
      <w:marBottom w:val="0"/>
      <w:divBdr>
        <w:top w:val="none" w:sz="0" w:space="0" w:color="auto"/>
        <w:left w:val="none" w:sz="0" w:space="0" w:color="auto"/>
        <w:bottom w:val="none" w:sz="0" w:space="0" w:color="auto"/>
        <w:right w:val="none" w:sz="0" w:space="0" w:color="auto"/>
      </w:divBdr>
    </w:div>
    <w:div w:id="1734351210">
      <w:bodyDiv w:val="1"/>
      <w:marLeft w:val="0"/>
      <w:marRight w:val="0"/>
      <w:marTop w:val="0"/>
      <w:marBottom w:val="0"/>
      <w:divBdr>
        <w:top w:val="none" w:sz="0" w:space="0" w:color="auto"/>
        <w:left w:val="none" w:sz="0" w:space="0" w:color="auto"/>
        <w:bottom w:val="none" w:sz="0" w:space="0" w:color="auto"/>
        <w:right w:val="none" w:sz="0" w:space="0" w:color="auto"/>
      </w:divBdr>
    </w:div>
    <w:div w:id="1765613800">
      <w:bodyDiv w:val="1"/>
      <w:marLeft w:val="0"/>
      <w:marRight w:val="0"/>
      <w:marTop w:val="0"/>
      <w:marBottom w:val="0"/>
      <w:divBdr>
        <w:top w:val="none" w:sz="0" w:space="0" w:color="auto"/>
        <w:left w:val="none" w:sz="0" w:space="0" w:color="auto"/>
        <w:bottom w:val="none" w:sz="0" w:space="0" w:color="auto"/>
        <w:right w:val="none" w:sz="0" w:space="0" w:color="auto"/>
      </w:divBdr>
    </w:div>
    <w:div w:id="1772701155">
      <w:bodyDiv w:val="1"/>
      <w:marLeft w:val="0"/>
      <w:marRight w:val="0"/>
      <w:marTop w:val="0"/>
      <w:marBottom w:val="0"/>
      <w:divBdr>
        <w:top w:val="none" w:sz="0" w:space="0" w:color="auto"/>
        <w:left w:val="none" w:sz="0" w:space="0" w:color="auto"/>
        <w:bottom w:val="none" w:sz="0" w:space="0" w:color="auto"/>
        <w:right w:val="none" w:sz="0" w:space="0" w:color="auto"/>
      </w:divBdr>
    </w:div>
    <w:div w:id="1788544371">
      <w:bodyDiv w:val="1"/>
      <w:marLeft w:val="0"/>
      <w:marRight w:val="0"/>
      <w:marTop w:val="0"/>
      <w:marBottom w:val="0"/>
      <w:divBdr>
        <w:top w:val="none" w:sz="0" w:space="0" w:color="auto"/>
        <w:left w:val="none" w:sz="0" w:space="0" w:color="auto"/>
        <w:bottom w:val="none" w:sz="0" w:space="0" w:color="auto"/>
        <w:right w:val="none" w:sz="0" w:space="0" w:color="auto"/>
      </w:divBdr>
    </w:div>
    <w:div w:id="1796215812">
      <w:bodyDiv w:val="1"/>
      <w:marLeft w:val="0"/>
      <w:marRight w:val="0"/>
      <w:marTop w:val="0"/>
      <w:marBottom w:val="0"/>
      <w:divBdr>
        <w:top w:val="none" w:sz="0" w:space="0" w:color="auto"/>
        <w:left w:val="none" w:sz="0" w:space="0" w:color="auto"/>
        <w:bottom w:val="none" w:sz="0" w:space="0" w:color="auto"/>
        <w:right w:val="none" w:sz="0" w:space="0" w:color="auto"/>
      </w:divBdr>
    </w:div>
    <w:div w:id="1811944487">
      <w:bodyDiv w:val="1"/>
      <w:marLeft w:val="0"/>
      <w:marRight w:val="0"/>
      <w:marTop w:val="0"/>
      <w:marBottom w:val="0"/>
      <w:divBdr>
        <w:top w:val="none" w:sz="0" w:space="0" w:color="auto"/>
        <w:left w:val="none" w:sz="0" w:space="0" w:color="auto"/>
        <w:bottom w:val="none" w:sz="0" w:space="0" w:color="auto"/>
        <w:right w:val="none" w:sz="0" w:space="0" w:color="auto"/>
      </w:divBdr>
    </w:div>
    <w:div w:id="1821651539">
      <w:bodyDiv w:val="1"/>
      <w:marLeft w:val="0"/>
      <w:marRight w:val="0"/>
      <w:marTop w:val="0"/>
      <w:marBottom w:val="0"/>
      <w:divBdr>
        <w:top w:val="none" w:sz="0" w:space="0" w:color="auto"/>
        <w:left w:val="none" w:sz="0" w:space="0" w:color="auto"/>
        <w:bottom w:val="none" w:sz="0" w:space="0" w:color="auto"/>
        <w:right w:val="none" w:sz="0" w:space="0" w:color="auto"/>
      </w:divBdr>
    </w:div>
    <w:div w:id="1822577859">
      <w:bodyDiv w:val="1"/>
      <w:marLeft w:val="0"/>
      <w:marRight w:val="0"/>
      <w:marTop w:val="0"/>
      <w:marBottom w:val="0"/>
      <w:divBdr>
        <w:top w:val="none" w:sz="0" w:space="0" w:color="auto"/>
        <w:left w:val="none" w:sz="0" w:space="0" w:color="auto"/>
        <w:bottom w:val="none" w:sz="0" w:space="0" w:color="auto"/>
        <w:right w:val="none" w:sz="0" w:space="0" w:color="auto"/>
      </w:divBdr>
    </w:div>
    <w:div w:id="1843277133">
      <w:bodyDiv w:val="1"/>
      <w:marLeft w:val="0"/>
      <w:marRight w:val="0"/>
      <w:marTop w:val="0"/>
      <w:marBottom w:val="0"/>
      <w:divBdr>
        <w:top w:val="none" w:sz="0" w:space="0" w:color="auto"/>
        <w:left w:val="none" w:sz="0" w:space="0" w:color="auto"/>
        <w:bottom w:val="none" w:sz="0" w:space="0" w:color="auto"/>
        <w:right w:val="none" w:sz="0" w:space="0" w:color="auto"/>
      </w:divBdr>
    </w:div>
    <w:div w:id="1887135509">
      <w:bodyDiv w:val="1"/>
      <w:marLeft w:val="0"/>
      <w:marRight w:val="0"/>
      <w:marTop w:val="0"/>
      <w:marBottom w:val="0"/>
      <w:divBdr>
        <w:top w:val="none" w:sz="0" w:space="0" w:color="auto"/>
        <w:left w:val="none" w:sz="0" w:space="0" w:color="auto"/>
        <w:bottom w:val="none" w:sz="0" w:space="0" w:color="auto"/>
        <w:right w:val="none" w:sz="0" w:space="0" w:color="auto"/>
      </w:divBdr>
    </w:div>
    <w:div w:id="1887638541">
      <w:bodyDiv w:val="1"/>
      <w:marLeft w:val="0"/>
      <w:marRight w:val="0"/>
      <w:marTop w:val="0"/>
      <w:marBottom w:val="0"/>
      <w:divBdr>
        <w:top w:val="none" w:sz="0" w:space="0" w:color="auto"/>
        <w:left w:val="none" w:sz="0" w:space="0" w:color="auto"/>
        <w:bottom w:val="none" w:sz="0" w:space="0" w:color="auto"/>
        <w:right w:val="none" w:sz="0" w:space="0" w:color="auto"/>
      </w:divBdr>
    </w:div>
    <w:div w:id="1893426125">
      <w:bodyDiv w:val="1"/>
      <w:marLeft w:val="0"/>
      <w:marRight w:val="0"/>
      <w:marTop w:val="0"/>
      <w:marBottom w:val="0"/>
      <w:divBdr>
        <w:top w:val="none" w:sz="0" w:space="0" w:color="auto"/>
        <w:left w:val="none" w:sz="0" w:space="0" w:color="auto"/>
        <w:bottom w:val="none" w:sz="0" w:space="0" w:color="auto"/>
        <w:right w:val="none" w:sz="0" w:space="0" w:color="auto"/>
      </w:divBdr>
    </w:div>
    <w:div w:id="1896577303">
      <w:bodyDiv w:val="1"/>
      <w:marLeft w:val="0"/>
      <w:marRight w:val="0"/>
      <w:marTop w:val="0"/>
      <w:marBottom w:val="0"/>
      <w:divBdr>
        <w:top w:val="none" w:sz="0" w:space="0" w:color="auto"/>
        <w:left w:val="none" w:sz="0" w:space="0" w:color="auto"/>
        <w:bottom w:val="none" w:sz="0" w:space="0" w:color="auto"/>
        <w:right w:val="none" w:sz="0" w:space="0" w:color="auto"/>
      </w:divBdr>
    </w:div>
    <w:div w:id="1908688858">
      <w:bodyDiv w:val="1"/>
      <w:marLeft w:val="0"/>
      <w:marRight w:val="0"/>
      <w:marTop w:val="0"/>
      <w:marBottom w:val="0"/>
      <w:divBdr>
        <w:top w:val="none" w:sz="0" w:space="0" w:color="auto"/>
        <w:left w:val="none" w:sz="0" w:space="0" w:color="auto"/>
        <w:bottom w:val="none" w:sz="0" w:space="0" w:color="auto"/>
        <w:right w:val="none" w:sz="0" w:space="0" w:color="auto"/>
      </w:divBdr>
    </w:div>
    <w:div w:id="1923491229">
      <w:bodyDiv w:val="1"/>
      <w:marLeft w:val="0"/>
      <w:marRight w:val="0"/>
      <w:marTop w:val="0"/>
      <w:marBottom w:val="0"/>
      <w:divBdr>
        <w:top w:val="none" w:sz="0" w:space="0" w:color="auto"/>
        <w:left w:val="none" w:sz="0" w:space="0" w:color="auto"/>
        <w:bottom w:val="none" w:sz="0" w:space="0" w:color="auto"/>
        <w:right w:val="none" w:sz="0" w:space="0" w:color="auto"/>
      </w:divBdr>
    </w:div>
    <w:div w:id="1948780124">
      <w:bodyDiv w:val="1"/>
      <w:marLeft w:val="0"/>
      <w:marRight w:val="0"/>
      <w:marTop w:val="0"/>
      <w:marBottom w:val="0"/>
      <w:divBdr>
        <w:top w:val="none" w:sz="0" w:space="0" w:color="auto"/>
        <w:left w:val="none" w:sz="0" w:space="0" w:color="auto"/>
        <w:bottom w:val="none" w:sz="0" w:space="0" w:color="auto"/>
        <w:right w:val="none" w:sz="0" w:space="0" w:color="auto"/>
      </w:divBdr>
    </w:div>
    <w:div w:id="1984499434">
      <w:bodyDiv w:val="1"/>
      <w:marLeft w:val="0"/>
      <w:marRight w:val="0"/>
      <w:marTop w:val="0"/>
      <w:marBottom w:val="0"/>
      <w:divBdr>
        <w:top w:val="none" w:sz="0" w:space="0" w:color="auto"/>
        <w:left w:val="none" w:sz="0" w:space="0" w:color="auto"/>
        <w:bottom w:val="none" w:sz="0" w:space="0" w:color="auto"/>
        <w:right w:val="none" w:sz="0" w:space="0" w:color="auto"/>
      </w:divBdr>
    </w:div>
    <w:div w:id="1986354687">
      <w:bodyDiv w:val="1"/>
      <w:marLeft w:val="0"/>
      <w:marRight w:val="0"/>
      <w:marTop w:val="0"/>
      <w:marBottom w:val="0"/>
      <w:divBdr>
        <w:top w:val="none" w:sz="0" w:space="0" w:color="auto"/>
        <w:left w:val="none" w:sz="0" w:space="0" w:color="auto"/>
        <w:bottom w:val="none" w:sz="0" w:space="0" w:color="auto"/>
        <w:right w:val="none" w:sz="0" w:space="0" w:color="auto"/>
      </w:divBdr>
    </w:div>
    <w:div w:id="1989898652">
      <w:bodyDiv w:val="1"/>
      <w:marLeft w:val="0"/>
      <w:marRight w:val="0"/>
      <w:marTop w:val="0"/>
      <w:marBottom w:val="0"/>
      <w:divBdr>
        <w:top w:val="none" w:sz="0" w:space="0" w:color="auto"/>
        <w:left w:val="none" w:sz="0" w:space="0" w:color="auto"/>
        <w:bottom w:val="none" w:sz="0" w:space="0" w:color="auto"/>
        <w:right w:val="none" w:sz="0" w:space="0" w:color="auto"/>
      </w:divBdr>
    </w:div>
    <w:div w:id="1999461379">
      <w:bodyDiv w:val="1"/>
      <w:marLeft w:val="0"/>
      <w:marRight w:val="0"/>
      <w:marTop w:val="0"/>
      <w:marBottom w:val="0"/>
      <w:divBdr>
        <w:top w:val="none" w:sz="0" w:space="0" w:color="auto"/>
        <w:left w:val="none" w:sz="0" w:space="0" w:color="auto"/>
        <w:bottom w:val="none" w:sz="0" w:space="0" w:color="auto"/>
        <w:right w:val="none" w:sz="0" w:space="0" w:color="auto"/>
      </w:divBdr>
    </w:div>
    <w:div w:id="2001082131">
      <w:bodyDiv w:val="1"/>
      <w:marLeft w:val="0"/>
      <w:marRight w:val="0"/>
      <w:marTop w:val="0"/>
      <w:marBottom w:val="0"/>
      <w:divBdr>
        <w:top w:val="none" w:sz="0" w:space="0" w:color="auto"/>
        <w:left w:val="none" w:sz="0" w:space="0" w:color="auto"/>
        <w:bottom w:val="none" w:sz="0" w:space="0" w:color="auto"/>
        <w:right w:val="none" w:sz="0" w:space="0" w:color="auto"/>
      </w:divBdr>
    </w:div>
    <w:div w:id="2012560557">
      <w:bodyDiv w:val="1"/>
      <w:marLeft w:val="0"/>
      <w:marRight w:val="0"/>
      <w:marTop w:val="0"/>
      <w:marBottom w:val="0"/>
      <w:divBdr>
        <w:top w:val="none" w:sz="0" w:space="0" w:color="auto"/>
        <w:left w:val="none" w:sz="0" w:space="0" w:color="auto"/>
        <w:bottom w:val="none" w:sz="0" w:space="0" w:color="auto"/>
        <w:right w:val="none" w:sz="0" w:space="0" w:color="auto"/>
      </w:divBdr>
    </w:div>
    <w:div w:id="2026860639">
      <w:bodyDiv w:val="1"/>
      <w:marLeft w:val="0"/>
      <w:marRight w:val="0"/>
      <w:marTop w:val="0"/>
      <w:marBottom w:val="0"/>
      <w:divBdr>
        <w:top w:val="none" w:sz="0" w:space="0" w:color="auto"/>
        <w:left w:val="none" w:sz="0" w:space="0" w:color="auto"/>
        <w:bottom w:val="none" w:sz="0" w:space="0" w:color="auto"/>
        <w:right w:val="none" w:sz="0" w:space="0" w:color="auto"/>
      </w:divBdr>
    </w:div>
    <w:div w:id="2028092803">
      <w:bodyDiv w:val="1"/>
      <w:marLeft w:val="0"/>
      <w:marRight w:val="0"/>
      <w:marTop w:val="0"/>
      <w:marBottom w:val="0"/>
      <w:divBdr>
        <w:top w:val="none" w:sz="0" w:space="0" w:color="auto"/>
        <w:left w:val="none" w:sz="0" w:space="0" w:color="auto"/>
        <w:bottom w:val="none" w:sz="0" w:space="0" w:color="auto"/>
        <w:right w:val="none" w:sz="0" w:space="0" w:color="auto"/>
      </w:divBdr>
    </w:div>
    <w:div w:id="2028368844">
      <w:bodyDiv w:val="1"/>
      <w:marLeft w:val="0"/>
      <w:marRight w:val="0"/>
      <w:marTop w:val="0"/>
      <w:marBottom w:val="0"/>
      <w:divBdr>
        <w:top w:val="none" w:sz="0" w:space="0" w:color="auto"/>
        <w:left w:val="none" w:sz="0" w:space="0" w:color="auto"/>
        <w:bottom w:val="none" w:sz="0" w:space="0" w:color="auto"/>
        <w:right w:val="none" w:sz="0" w:space="0" w:color="auto"/>
      </w:divBdr>
    </w:div>
    <w:div w:id="2056390648">
      <w:bodyDiv w:val="1"/>
      <w:marLeft w:val="0"/>
      <w:marRight w:val="0"/>
      <w:marTop w:val="0"/>
      <w:marBottom w:val="0"/>
      <w:divBdr>
        <w:top w:val="none" w:sz="0" w:space="0" w:color="auto"/>
        <w:left w:val="none" w:sz="0" w:space="0" w:color="auto"/>
        <w:bottom w:val="none" w:sz="0" w:space="0" w:color="auto"/>
        <w:right w:val="none" w:sz="0" w:space="0" w:color="auto"/>
      </w:divBdr>
    </w:div>
    <w:div w:id="2058968934">
      <w:bodyDiv w:val="1"/>
      <w:marLeft w:val="0"/>
      <w:marRight w:val="0"/>
      <w:marTop w:val="0"/>
      <w:marBottom w:val="0"/>
      <w:divBdr>
        <w:top w:val="none" w:sz="0" w:space="0" w:color="auto"/>
        <w:left w:val="none" w:sz="0" w:space="0" w:color="auto"/>
        <w:bottom w:val="none" w:sz="0" w:space="0" w:color="auto"/>
        <w:right w:val="none" w:sz="0" w:space="0" w:color="auto"/>
      </w:divBdr>
    </w:div>
    <w:div w:id="2062433470">
      <w:bodyDiv w:val="1"/>
      <w:marLeft w:val="0"/>
      <w:marRight w:val="0"/>
      <w:marTop w:val="0"/>
      <w:marBottom w:val="0"/>
      <w:divBdr>
        <w:top w:val="none" w:sz="0" w:space="0" w:color="auto"/>
        <w:left w:val="none" w:sz="0" w:space="0" w:color="auto"/>
        <w:bottom w:val="none" w:sz="0" w:space="0" w:color="auto"/>
        <w:right w:val="none" w:sz="0" w:space="0" w:color="auto"/>
      </w:divBdr>
    </w:div>
    <w:div w:id="2064979584">
      <w:bodyDiv w:val="1"/>
      <w:marLeft w:val="0"/>
      <w:marRight w:val="0"/>
      <w:marTop w:val="0"/>
      <w:marBottom w:val="0"/>
      <w:divBdr>
        <w:top w:val="none" w:sz="0" w:space="0" w:color="auto"/>
        <w:left w:val="none" w:sz="0" w:space="0" w:color="auto"/>
        <w:bottom w:val="none" w:sz="0" w:space="0" w:color="auto"/>
        <w:right w:val="none" w:sz="0" w:space="0" w:color="auto"/>
      </w:divBdr>
    </w:div>
    <w:div w:id="2073573134">
      <w:bodyDiv w:val="1"/>
      <w:marLeft w:val="0"/>
      <w:marRight w:val="0"/>
      <w:marTop w:val="0"/>
      <w:marBottom w:val="0"/>
      <w:divBdr>
        <w:top w:val="none" w:sz="0" w:space="0" w:color="auto"/>
        <w:left w:val="none" w:sz="0" w:space="0" w:color="auto"/>
        <w:bottom w:val="none" w:sz="0" w:space="0" w:color="auto"/>
        <w:right w:val="none" w:sz="0" w:space="0" w:color="auto"/>
      </w:divBdr>
    </w:div>
    <w:div w:id="2092652497">
      <w:bodyDiv w:val="1"/>
      <w:marLeft w:val="0"/>
      <w:marRight w:val="0"/>
      <w:marTop w:val="0"/>
      <w:marBottom w:val="0"/>
      <w:divBdr>
        <w:top w:val="none" w:sz="0" w:space="0" w:color="auto"/>
        <w:left w:val="none" w:sz="0" w:space="0" w:color="auto"/>
        <w:bottom w:val="none" w:sz="0" w:space="0" w:color="auto"/>
        <w:right w:val="none" w:sz="0" w:space="0" w:color="auto"/>
      </w:divBdr>
    </w:div>
    <w:div w:id="2105371402">
      <w:bodyDiv w:val="1"/>
      <w:marLeft w:val="0"/>
      <w:marRight w:val="0"/>
      <w:marTop w:val="0"/>
      <w:marBottom w:val="0"/>
      <w:divBdr>
        <w:top w:val="none" w:sz="0" w:space="0" w:color="auto"/>
        <w:left w:val="none" w:sz="0" w:space="0" w:color="auto"/>
        <w:bottom w:val="none" w:sz="0" w:space="0" w:color="auto"/>
        <w:right w:val="none" w:sz="0" w:space="0" w:color="auto"/>
      </w:divBdr>
    </w:div>
    <w:div w:id="2108228587">
      <w:bodyDiv w:val="1"/>
      <w:marLeft w:val="0"/>
      <w:marRight w:val="0"/>
      <w:marTop w:val="0"/>
      <w:marBottom w:val="0"/>
      <w:divBdr>
        <w:top w:val="none" w:sz="0" w:space="0" w:color="auto"/>
        <w:left w:val="none" w:sz="0" w:space="0" w:color="auto"/>
        <w:bottom w:val="none" w:sz="0" w:space="0" w:color="auto"/>
        <w:right w:val="none" w:sz="0" w:space="0" w:color="auto"/>
      </w:divBdr>
    </w:div>
    <w:div w:id="2130780872">
      <w:bodyDiv w:val="1"/>
      <w:marLeft w:val="0"/>
      <w:marRight w:val="0"/>
      <w:marTop w:val="0"/>
      <w:marBottom w:val="0"/>
      <w:divBdr>
        <w:top w:val="none" w:sz="0" w:space="0" w:color="auto"/>
        <w:left w:val="none" w:sz="0" w:space="0" w:color="auto"/>
        <w:bottom w:val="none" w:sz="0" w:space="0" w:color="auto"/>
        <w:right w:val="none" w:sz="0" w:space="0" w:color="auto"/>
      </w:divBdr>
    </w:div>
    <w:div w:id="214638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Al Rayan">
      <a:dk1>
        <a:sysClr val="windowText" lastClr="000000"/>
      </a:dk1>
      <a:lt1>
        <a:sysClr val="window" lastClr="FFFFFF"/>
      </a:lt1>
      <a:dk2>
        <a:srgbClr val="000000"/>
      </a:dk2>
      <a:lt2>
        <a:srgbClr val="FFFFFF"/>
      </a:lt2>
      <a:accent1>
        <a:srgbClr val="06B1D6"/>
      </a:accent1>
      <a:accent2>
        <a:srgbClr val="0076A5"/>
      </a:accent2>
      <a:accent3>
        <a:srgbClr val="000000"/>
      </a:accent3>
      <a:accent4>
        <a:srgbClr val="009CDA"/>
      </a:accent4>
      <a:accent5>
        <a:srgbClr val="D0CECE"/>
      </a:accent5>
      <a:accent6>
        <a:srgbClr val="7B7B7B"/>
      </a:accent6>
      <a:hlink>
        <a:srgbClr val="CBB991"/>
      </a:hlink>
      <a:folHlink>
        <a:srgbClr val="4ADDF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8D2B38AC9CB43940C31861962A4C0" ma:contentTypeVersion="3" ma:contentTypeDescription="Create a new document." ma:contentTypeScope="" ma:versionID="15d176cc3aff405d0edf8e891c4b383f">
  <xsd:schema xmlns:xsd="http://www.w3.org/2001/XMLSchema" xmlns:xs="http://www.w3.org/2001/XMLSchema" xmlns:p="http://schemas.microsoft.com/office/2006/metadata/properties" xmlns:ns2="73ed9918-b6d6-4cea-b6bf-36e7a4351bd9" targetNamespace="http://schemas.microsoft.com/office/2006/metadata/properties" ma:root="true" ma:fieldsID="1df513caeab393356b5f611c75ad0f64" ns2:_="">
    <xsd:import namespace="73ed9918-b6d6-4cea-b6bf-36e7a4351bd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d9918-b6d6-4cea-b6bf-36e7a4351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6DDF-D079-4139-8E6B-E5855645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d9918-b6d6-4cea-b6bf-36e7a4351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F430C-2525-4860-B7FC-566EB382F633}">
  <ds:schemaRefs>
    <ds:schemaRef ds:uri="http://schemas.microsoft.com/sharepoint/v3/contenttype/forms"/>
  </ds:schemaRefs>
</ds:datastoreItem>
</file>

<file path=customXml/itemProps3.xml><?xml version="1.0" encoding="utf-8"?>
<ds:datastoreItem xmlns:ds="http://schemas.openxmlformats.org/officeDocument/2006/customXml" ds:itemID="{82637C9A-0B1B-42D6-88DA-580FD0B9BFC8}">
  <ds:schemaRefs>
    <ds:schemaRef ds:uri="http://schemas.microsoft.com/office/2006/documentManagement/types"/>
    <ds:schemaRef ds:uri="http://www.w3.org/XML/1998/namespace"/>
    <ds:schemaRef ds:uri="http://schemas.microsoft.com/office/2006/metadata/properties"/>
    <ds:schemaRef ds:uri="http://purl.org/dc/terms/"/>
    <ds:schemaRef ds:uri="73ed9918-b6d6-4cea-b6bf-36e7a4351bd9"/>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74AF6ADA-9340-4648-804C-743E6AA7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14547</Words>
  <Characters>82923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 Chauhan</dc:creator>
  <cp:keywords/>
  <dc:description/>
  <cp:lastModifiedBy>Asif Akbar</cp:lastModifiedBy>
  <cp:revision>2</cp:revision>
  <cp:lastPrinted>2022-09-28T02:13:00Z</cp:lastPrinted>
  <dcterms:created xsi:type="dcterms:W3CDTF">2025-07-21T16:35:00Z</dcterms:created>
  <dcterms:modified xsi:type="dcterms:W3CDTF">2025-07-21T16:35:00Z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0x0101009628D2B38AC9CB43940C31861962A4C0</vt:lpwstr>
  </property>
</Properties>
</file>